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28" w:rsidRPr="00997A10" w:rsidRDefault="006C7928" w:rsidP="000E6437">
      <w:pPr>
        <w:tabs>
          <w:tab w:val="left" w:pos="890"/>
        </w:tabs>
        <w:ind w:left="1134"/>
      </w:pPr>
    </w:p>
    <w:p w:rsidR="006C7928" w:rsidRDefault="006C7928" w:rsidP="000E6437">
      <w:pPr>
        <w:tabs>
          <w:tab w:val="left" w:pos="890"/>
        </w:tabs>
        <w:ind w:left="1134"/>
      </w:pPr>
    </w:p>
    <w:p w:rsidR="006C7928" w:rsidRDefault="006C7928" w:rsidP="000E6437">
      <w:pPr>
        <w:tabs>
          <w:tab w:val="left" w:pos="890"/>
        </w:tabs>
        <w:ind w:left="1134"/>
      </w:pPr>
    </w:p>
    <w:p w:rsidR="006C7928" w:rsidRDefault="006C7928" w:rsidP="000E6437">
      <w:pPr>
        <w:tabs>
          <w:tab w:val="left" w:pos="890"/>
        </w:tabs>
        <w:ind w:left="1134"/>
      </w:pPr>
    </w:p>
    <w:p w:rsidR="00DE64C0" w:rsidRPr="00997A10" w:rsidRDefault="00DE64C0" w:rsidP="000E6437">
      <w:pPr>
        <w:tabs>
          <w:tab w:val="left" w:pos="890"/>
        </w:tabs>
        <w:ind w:left="1134"/>
      </w:pPr>
    </w:p>
    <w:p w:rsidR="006C7928" w:rsidRPr="00997A10" w:rsidRDefault="007D5161" w:rsidP="006C7928">
      <w:pPr>
        <w:ind w:left="1134"/>
      </w:pPr>
      <w:r>
        <w:rPr>
          <w:noProof/>
          <w:lang w:val="en-GB" w:eastAsia="en-GB"/>
        </w:rPr>
        <w:drawing>
          <wp:inline distT="0" distB="0" distL="0" distR="0" wp14:anchorId="15F4F7B8" wp14:editId="57395125">
            <wp:extent cx="1591056" cy="813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13">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rsidR="006C7928" w:rsidRPr="00997A10" w:rsidRDefault="006C7928" w:rsidP="000E6437">
      <w:pPr>
        <w:tabs>
          <w:tab w:val="left" w:pos="890"/>
        </w:tabs>
        <w:ind w:left="1134"/>
      </w:pPr>
    </w:p>
    <w:p w:rsidR="006C7928" w:rsidRPr="00997A10" w:rsidRDefault="006C7928" w:rsidP="000E6437">
      <w:pPr>
        <w:tabs>
          <w:tab w:val="left" w:pos="890"/>
        </w:tabs>
        <w:ind w:left="1134"/>
      </w:pPr>
    </w:p>
    <w:p w:rsidR="006C7928" w:rsidRDefault="006C7928" w:rsidP="000E6437">
      <w:pPr>
        <w:ind w:left="1134"/>
      </w:pPr>
    </w:p>
    <w:p w:rsidR="006C7928" w:rsidRDefault="006C7928" w:rsidP="000E6437">
      <w:pPr>
        <w:ind w:left="1134"/>
      </w:pPr>
    </w:p>
    <w:p w:rsidR="006C7928" w:rsidRDefault="006C7928" w:rsidP="000E6437">
      <w:pPr>
        <w:ind w:left="1134"/>
      </w:pPr>
    </w:p>
    <w:p w:rsidR="006C7928" w:rsidRDefault="006C7928" w:rsidP="000E6437">
      <w:pPr>
        <w:ind w:left="1134"/>
      </w:pPr>
    </w:p>
    <w:p w:rsidR="006C7928" w:rsidRDefault="006C7928" w:rsidP="000E6437">
      <w:pPr>
        <w:ind w:left="1134"/>
      </w:pPr>
    </w:p>
    <w:p w:rsidR="007B7A10" w:rsidRDefault="007B7A10" w:rsidP="006942D8">
      <w:pPr>
        <w:tabs>
          <w:tab w:val="left" w:pos="890"/>
        </w:tabs>
        <w:ind w:left="1134"/>
        <w:rPr>
          <w:b/>
          <w:sz w:val="28"/>
          <w:szCs w:val="28"/>
        </w:rPr>
      </w:pPr>
    </w:p>
    <w:p w:rsidR="006C7928" w:rsidRDefault="006C7928" w:rsidP="000E6437">
      <w:pPr>
        <w:ind w:left="1134"/>
      </w:pPr>
    </w:p>
    <w:p w:rsidR="0022048C" w:rsidRDefault="0022048C" w:rsidP="000E6437">
      <w:pPr>
        <w:ind w:left="1134"/>
      </w:pPr>
    </w:p>
    <w:p w:rsidR="0022048C" w:rsidRDefault="0022048C" w:rsidP="000E6437">
      <w:pPr>
        <w:ind w:left="1134"/>
      </w:pPr>
    </w:p>
    <w:p w:rsidR="0022048C" w:rsidRDefault="0022048C" w:rsidP="000E6437">
      <w:pPr>
        <w:ind w:left="1134"/>
      </w:pPr>
    </w:p>
    <w:p w:rsidR="006C7928" w:rsidRDefault="006C7928" w:rsidP="000E6437">
      <w:pPr>
        <w:ind w:left="1134"/>
      </w:pPr>
    </w:p>
    <w:p w:rsidR="006C7928" w:rsidRPr="00997A10" w:rsidRDefault="006C7928" w:rsidP="000E6437">
      <w:pPr>
        <w:tabs>
          <w:tab w:val="left" w:pos="890"/>
        </w:tabs>
        <w:ind w:left="1134"/>
      </w:pPr>
    </w:p>
    <w:p w:rsidR="006C7928" w:rsidRDefault="008B4BB3" w:rsidP="008B4BB3">
      <w:pPr>
        <w:pStyle w:val="DocumentTitle"/>
        <w:tabs>
          <w:tab w:val="left" w:pos="890"/>
        </w:tabs>
        <w:ind w:left="1134"/>
      </w:pPr>
      <w:r w:rsidRPr="008B4BB3">
        <w:t>Management's response to Member States comments</w:t>
      </w:r>
    </w:p>
    <w:p w:rsidR="006C7928" w:rsidRPr="00997A10" w:rsidRDefault="006C7928" w:rsidP="000E6437">
      <w:pPr>
        <w:tabs>
          <w:tab w:val="left" w:pos="890"/>
        </w:tabs>
        <w:ind w:left="1134"/>
      </w:pPr>
    </w:p>
    <w:p w:rsidR="006C7928" w:rsidRDefault="006C7928" w:rsidP="000E6437">
      <w:pPr>
        <w:tabs>
          <w:tab w:val="left" w:pos="890"/>
        </w:tabs>
        <w:ind w:left="1134"/>
      </w:pPr>
    </w:p>
    <w:p w:rsidR="0022048C" w:rsidRPr="001B7534" w:rsidRDefault="0022048C" w:rsidP="0022048C">
      <w:pPr>
        <w:tabs>
          <w:tab w:val="left" w:pos="890"/>
        </w:tabs>
        <w:ind w:left="1134"/>
        <w:rPr>
          <w:b/>
          <w:sz w:val="28"/>
          <w:szCs w:val="28"/>
        </w:rPr>
      </w:pPr>
      <w:r>
        <w:rPr>
          <w:b/>
          <w:sz w:val="28"/>
          <w:szCs w:val="28"/>
        </w:rPr>
        <w:t>Addendum</w:t>
      </w:r>
    </w:p>
    <w:p w:rsidR="006C7928" w:rsidRDefault="006C7928" w:rsidP="008C02EC">
      <w:pPr>
        <w:tabs>
          <w:tab w:val="left" w:pos="890"/>
        </w:tabs>
        <w:spacing w:after="120"/>
        <w:ind w:left="2359"/>
        <w:sectPr w:rsidR="006C7928" w:rsidSect="00EE5D87">
          <w:footerReference w:type="even" r:id="rId14"/>
          <w:footerReference w:type="default" r:id="rId15"/>
          <w:pgSz w:w="11909" w:h="16834" w:code="9"/>
          <w:pgMar w:top="680" w:right="1701" w:bottom="794" w:left="1701" w:header="720" w:footer="720" w:gutter="0"/>
          <w:cols w:space="720"/>
          <w:docGrid w:linePitch="272"/>
        </w:sectPr>
      </w:pPr>
    </w:p>
    <w:tbl>
      <w:tblPr>
        <w:tblStyle w:val="TableGrid"/>
        <w:tblW w:w="14029" w:type="dxa"/>
        <w:tblLayout w:type="fixed"/>
        <w:tblLook w:val="04A0" w:firstRow="1" w:lastRow="0" w:firstColumn="1" w:lastColumn="0" w:noHBand="0" w:noVBand="1"/>
      </w:tblPr>
      <w:tblGrid>
        <w:gridCol w:w="7083"/>
        <w:gridCol w:w="6946"/>
      </w:tblGrid>
      <w:tr w:rsidR="00762AC7" w:rsidRPr="00762AC7" w:rsidTr="00F9054B">
        <w:trPr>
          <w:trHeight w:val="519"/>
          <w:tblHeader/>
        </w:trPr>
        <w:tc>
          <w:tcPr>
            <w:tcW w:w="7083" w:type="dxa"/>
            <w:shd w:val="clear" w:color="auto" w:fill="E5DFEC" w:themeFill="accent4" w:themeFillTint="33"/>
            <w:vAlign w:val="center"/>
          </w:tcPr>
          <w:p w:rsidR="00762AC7" w:rsidRPr="00762AC7" w:rsidRDefault="00762AC7" w:rsidP="00F9054B">
            <w:pPr>
              <w:jc w:val="center"/>
              <w:rPr>
                <w:b/>
                <w:sz w:val="18"/>
                <w:szCs w:val="18"/>
              </w:rPr>
            </w:pPr>
            <w:r w:rsidRPr="00762AC7">
              <w:rPr>
                <w:b/>
                <w:sz w:val="18"/>
                <w:szCs w:val="18"/>
              </w:rPr>
              <w:lastRenderedPageBreak/>
              <w:t>Comments</w:t>
            </w:r>
            <w:r w:rsidR="00F9054B">
              <w:rPr>
                <w:b/>
                <w:sz w:val="18"/>
                <w:szCs w:val="18"/>
              </w:rPr>
              <w:t xml:space="preserve"> from United Kingdom</w:t>
            </w:r>
          </w:p>
        </w:tc>
        <w:tc>
          <w:tcPr>
            <w:tcW w:w="6946" w:type="dxa"/>
            <w:shd w:val="clear" w:color="auto" w:fill="E5DFEC" w:themeFill="accent4" w:themeFillTint="33"/>
            <w:vAlign w:val="center"/>
          </w:tcPr>
          <w:p w:rsidR="00762AC7" w:rsidRPr="00762AC7" w:rsidRDefault="00762AC7" w:rsidP="00D11717">
            <w:pPr>
              <w:jc w:val="center"/>
              <w:rPr>
                <w:b/>
                <w:sz w:val="18"/>
                <w:szCs w:val="18"/>
              </w:rPr>
            </w:pPr>
            <w:r>
              <w:rPr>
                <w:b/>
                <w:sz w:val="18"/>
                <w:szCs w:val="18"/>
              </w:rPr>
              <w:t>Management</w:t>
            </w:r>
            <w:r w:rsidRPr="00762AC7">
              <w:rPr>
                <w:b/>
                <w:sz w:val="18"/>
                <w:szCs w:val="18"/>
              </w:rPr>
              <w:t xml:space="preserve"> Response</w:t>
            </w:r>
          </w:p>
        </w:tc>
      </w:tr>
      <w:tr w:rsidR="00762AC7" w:rsidRPr="00762AC7" w:rsidTr="00F9054B">
        <w:tc>
          <w:tcPr>
            <w:tcW w:w="7083" w:type="dxa"/>
          </w:tcPr>
          <w:p w:rsidR="0022048C" w:rsidRDefault="0022048C" w:rsidP="0022048C">
            <w:pPr>
              <w:pStyle w:val="ListParagraph"/>
              <w:spacing w:before="0"/>
              <w:ind w:left="720" w:firstLine="0"/>
              <w:rPr>
                <w:sz w:val="18"/>
                <w:szCs w:val="18"/>
                <w:lang w:val="en-GB"/>
              </w:rPr>
            </w:pP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We encourage IFAD to develop a focussed results management framework that manages to meaningfully communicate what IFAD is delivering to an audience that is not necessarily familiar with the detail of IFAD. It might be helpful to consider linking more clearly to IFAD’s strategic objectives; and using impact evaluations (at a lesser cost and so increased in number) to provide data and demonstrate impact. </w:t>
            </w:r>
            <w:r w:rsidRPr="00F9054B">
              <w:rPr>
                <w:i/>
                <w:iCs/>
                <w:sz w:val="18"/>
                <w:szCs w:val="18"/>
                <w:lang w:val="en-GB"/>
              </w:rPr>
              <w:t>IFAD is quite unique in conducting impact evaluations</w:t>
            </w:r>
            <w:r w:rsidRPr="00F9054B">
              <w:rPr>
                <w:sz w:val="18"/>
                <w:szCs w:val="18"/>
                <w:lang w:val="en-GB"/>
              </w:rPr>
              <w:t> and the reports have provided some very helpful information on results. So, it would be good to explore how these can be linked to the RMF at this stage.</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IFAD is rightly increasing its </w:t>
            </w:r>
            <w:r w:rsidRPr="00F9054B">
              <w:rPr>
                <w:i/>
                <w:iCs/>
                <w:sz w:val="18"/>
                <w:szCs w:val="18"/>
                <w:lang w:val="en-GB"/>
              </w:rPr>
              <w:t>focus on resilience</w:t>
            </w:r>
            <w:r w:rsidRPr="00F9054B">
              <w:rPr>
                <w:sz w:val="18"/>
                <w:szCs w:val="18"/>
                <w:lang w:val="en-GB"/>
              </w:rPr>
              <w:t> – including to the effects of climate change. Particularly in the context of COVID-19, IFAD12 is now all about: Recovery. Rebuilding. Resilience. We encourage IFAD to consider how it can improve its measurement of resilience. IFAD should be able to demonstrate, for example, how IFAD interventions are making a difference for the most vulnerable, affected by shocks.</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Good to see the tier 1 and the tier 2.1 indicators are all SDGs.</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Tier 1 indicators look good – it would be helpful to have more information about how IFAD plans to distinguish between attribution vs contribution. Will IFAD actually measure these, rather than just track?</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Could IFAD please confirm that the 2.1 impact indicators will be monitored at project level and that SDG methodology will be used for this?</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It would be helpful to have information in the methodology for indicator 2.1.5 (number of people with improved nutrition); at the moment there’s none. ‘</w:t>
            </w:r>
            <w:r w:rsidRPr="00F9054B">
              <w:rPr>
                <w:i/>
                <w:iCs/>
                <w:sz w:val="18"/>
                <w:szCs w:val="18"/>
                <w:lang w:val="en-GB"/>
              </w:rPr>
              <w:t>Numbers reached</w:t>
            </w:r>
            <w:r w:rsidRPr="00F9054B">
              <w:rPr>
                <w:sz w:val="18"/>
                <w:szCs w:val="18"/>
                <w:lang w:val="en-GB"/>
              </w:rPr>
              <w:t>’ indicators are quite hard to interpret but perhaps there are other benefits from having this indicator – it would be helpful to see in the methodology.</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Could IFAD also consider adding an indicator at Tier II level on the i</w:t>
            </w:r>
            <w:r w:rsidRPr="00F9054B">
              <w:rPr>
                <w:sz w:val="18"/>
                <w:szCs w:val="18"/>
                <w:u w:val="single"/>
                <w:lang w:val="en-GB"/>
              </w:rPr>
              <w:t>mpact of programmes on food security outcomes</w:t>
            </w:r>
            <w:r w:rsidRPr="00F9054B">
              <w:rPr>
                <w:sz w:val="18"/>
                <w:szCs w:val="18"/>
                <w:lang w:val="en-GB"/>
              </w:rPr>
              <w:t xml:space="preserve">?  This question complements the point above on the methodology for 2.1.5. If this does not measure a substantial portion of IFAD beneficiaries, it would be worth considering if IFAD can measure food security using the Food Insecurity Experience Scale (FIES) for a larger proportion of beneficiaries (this is a short module that can be added on to </w:t>
            </w:r>
            <w:r w:rsidRPr="00F9054B">
              <w:rPr>
                <w:sz w:val="18"/>
                <w:szCs w:val="18"/>
                <w:lang w:val="en-GB"/>
              </w:rPr>
              <w:lastRenderedPageBreak/>
              <w:t>most surveys).</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It is not clear whether the 2.2 level indicators will use SDG methodology – could IFAD please clarify?</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On indicator 2.2.16 (on MDD-W) – it would be helpful to understand how IFAD plans to track this, including whether IFAD will measure directly or be dependent on data from national surveys? (If dependent on national surveys, there may be the same limitations as mentioned above on attribution vs contribution).</w:t>
            </w:r>
          </w:p>
          <w:p w:rsidR="00F9054B" w:rsidRPr="00F9054B" w:rsidRDefault="00F9054B" w:rsidP="00F9054B">
            <w:pPr>
              <w:pStyle w:val="ListParagraph"/>
              <w:numPr>
                <w:ilvl w:val="0"/>
                <w:numId w:val="36"/>
              </w:numPr>
              <w:spacing w:before="0"/>
              <w:rPr>
                <w:sz w:val="18"/>
                <w:szCs w:val="18"/>
                <w:lang w:val="en-GB"/>
              </w:rPr>
            </w:pPr>
            <w:r w:rsidRPr="00F9054B">
              <w:rPr>
                <w:sz w:val="18"/>
                <w:szCs w:val="18"/>
                <w:lang w:val="en-GB"/>
              </w:rPr>
              <w:t>IFAD has been undergoing a period of institutional change, introducing new policies and ways of working that now need to be embedded. It would be helpful to ensure some </w:t>
            </w:r>
            <w:r w:rsidRPr="00F9054B">
              <w:rPr>
                <w:i/>
                <w:iCs/>
                <w:sz w:val="18"/>
                <w:szCs w:val="18"/>
                <w:lang w:val="en-GB"/>
              </w:rPr>
              <w:t>clear indicators that demonstrate outcome and impact</w:t>
            </w:r>
            <w:r w:rsidRPr="00F9054B">
              <w:rPr>
                <w:sz w:val="18"/>
                <w:szCs w:val="18"/>
                <w:lang w:val="en-GB"/>
              </w:rPr>
              <w:t> in areas such as, for example, performance management - and how that is changing (in line with TCI commitments); and risk management - and how project delivery will be different as a result of renewed policies.</w:t>
            </w:r>
          </w:p>
          <w:p w:rsidR="00F9054B" w:rsidRDefault="00F9054B" w:rsidP="00F9054B">
            <w:pPr>
              <w:pStyle w:val="ListParagraph"/>
              <w:numPr>
                <w:ilvl w:val="0"/>
                <w:numId w:val="36"/>
              </w:numPr>
              <w:spacing w:before="0"/>
              <w:rPr>
                <w:sz w:val="18"/>
                <w:szCs w:val="18"/>
                <w:lang w:val="en-GB"/>
              </w:rPr>
            </w:pPr>
            <w:r w:rsidRPr="00F9054B">
              <w:rPr>
                <w:sz w:val="18"/>
                <w:szCs w:val="18"/>
                <w:lang w:val="en-GB"/>
              </w:rPr>
              <w:t>It would also be helpful to review how IFAD can best measure progress in the areas consistently highlighted as needing improvement: efficiency and sustainability. This could, for example, look more at problem projects and government ownership. We look forward to </w:t>
            </w:r>
            <w:r w:rsidRPr="00F9054B">
              <w:rPr>
                <w:i/>
                <w:iCs/>
                <w:sz w:val="18"/>
                <w:szCs w:val="18"/>
                <w:lang w:val="en-GB"/>
              </w:rPr>
              <w:t>stretching targets</w:t>
            </w:r>
            <w:r w:rsidRPr="00F9054B">
              <w:rPr>
                <w:sz w:val="18"/>
                <w:szCs w:val="18"/>
                <w:lang w:val="en-GB"/>
              </w:rPr>
              <w:t> in the results framework, including for domestic co-financing.</w:t>
            </w:r>
          </w:p>
          <w:p w:rsidR="0022048C" w:rsidRPr="0022048C" w:rsidRDefault="0022048C" w:rsidP="0022048C">
            <w:pPr>
              <w:rPr>
                <w:sz w:val="18"/>
                <w:szCs w:val="18"/>
                <w:lang w:val="en-GB"/>
              </w:rPr>
            </w:pPr>
          </w:p>
          <w:p w:rsidR="00762AC7" w:rsidRPr="00F9054B" w:rsidRDefault="00762AC7" w:rsidP="00762AC7">
            <w:pPr>
              <w:pStyle w:val="ListParagraph"/>
              <w:spacing w:before="0"/>
              <w:ind w:left="34" w:right="0" w:firstLine="0"/>
              <w:rPr>
                <w:rFonts w:cs="Arial"/>
                <w:sz w:val="18"/>
                <w:szCs w:val="18"/>
                <w:lang w:val="en-GB"/>
              </w:rPr>
            </w:pPr>
          </w:p>
        </w:tc>
        <w:tc>
          <w:tcPr>
            <w:tcW w:w="6946" w:type="dxa"/>
          </w:tcPr>
          <w:p w:rsidR="00762AC7" w:rsidRPr="00762AC7" w:rsidRDefault="00762AC7" w:rsidP="007C5FC9">
            <w:pPr>
              <w:rPr>
                <w:sz w:val="18"/>
                <w:szCs w:val="18"/>
              </w:rPr>
            </w:pPr>
          </w:p>
          <w:p w:rsidR="00F9054B" w:rsidRPr="00F9054B" w:rsidRDefault="00F9054B" w:rsidP="00F9054B">
            <w:pPr>
              <w:rPr>
                <w:sz w:val="18"/>
                <w:szCs w:val="18"/>
                <w:lang w:val="en-GB"/>
              </w:rPr>
            </w:pPr>
            <w:r w:rsidRPr="00F9054B">
              <w:rPr>
                <w:sz w:val="18"/>
                <w:szCs w:val="18"/>
                <w:lang w:val="en-GB"/>
              </w:rPr>
              <w:t>Management thanks the UK for the detailed questions, some of which we hope will be answered in the RMF draft shared with Member States for discussion on the 22</w:t>
            </w:r>
            <w:r w:rsidRPr="00F9054B">
              <w:rPr>
                <w:sz w:val="18"/>
                <w:szCs w:val="18"/>
                <w:vertAlign w:val="superscript"/>
                <w:lang w:val="en-GB"/>
              </w:rPr>
              <w:t>nd</w:t>
            </w:r>
            <w:r w:rsidRPr="00F9054B">
              <w:rPr>
                <w:sz w:val="18"/>
                <w:szCs w:val="18"/>
                <w:lang w:val="en-GB"/>
              </w:rPr>
              <w:t xml:space="preserve"> of September. With regards to communicating more clearly to outside audiences, we welcome additional feedback from the UK as to whether the accompanying paper included for revision on the 22</w:t>
            </w:r>
            <w:r w:rsidRPr="00F9054B">
              <w:rPr>
                <w:sz w:val="18"/>
                <w:szCs w:val="18"/>
                <w:vertAlign w:val="superscript"/>
                <w:lang w:val="en-GB"/>
              </w:rPr>
              <w:t>nd</w:t>
            </w:r>
            <w:r w:rsidRPr="00F9054B">
              <w:rPr>
                <w:sz w:val="18"/>
                <w:szCs w:val="18"/>
                <w:lang w:val="en-GB"/>
              </w:rPr>
              <w:t xml:space="preserve"> adequately addresses this comment. </w:t>
            </w:r>
          </w:p>
          <w:p w:rsidR="00F9054B" w:rsidRPr="00F9054B" w:rsidRDefault="00F9054B" w:rsidP="00F9054B">
            <w:pPr>
              <w:rPr>
                <w:b/>
                <w:bCs/>
                <w:sz w:val="18"/>
                <w:szCs w:val="18"/>
                <w:lang w:val="en-GB"/>
              </w:rPr>
            </w:pPr>
            <w:r w:rsidRPr="00F9054B">
              <w:rPr>
                <w:b/>
                <w:bCs/>
                <w:sz w:val="18"/>
                <w:szCs w:val="18"/>
                <w:lang w:val="en-GB"/>
              </w:rPr>
              <w:t>Tier I</w:t>
            </w:r>
          </w:p>
          <w:p w:rsidR="00F9054B" w:rsidRPr="00F9054B" w:rsidRDefault="00F9054B" w:rsidP="00F9054B">
            <w:pPr>
              <w:rPr>
                <w:sz w:val="18"/>
                <w:szCs w:val="18"/>
                <w:lang w:val="en-GB"/>
              </w:rPr>
            </w:pPr>
            <w:r w:rsidRPr="00F9054B">
              <w:rPr>
                <w:sz w:val="18"/>
                <w:szCs w:val="18"/>
                <w:lang w:val="en-GB"/>
              </w:rPr>
              <w:t xml:space="preserve">For all Tier 1 indicators, IFAD will report on their </w:t>
            </w:r>
            <w:r w:rsidRPr="00F9054B">
              <w:rPr>
                <w:b/>
                <w:bCs/>
                <w:sz w:val="18"/>
                <w:szCs w:val="18"/>
                <w:lang w:val="en-GB"/>
              </w:rPr>
              <w:t>contribution</w:t>
            </w:r>
            <w:r w:rsidRPr="00F9054B">
              <w:rPr>
                <w:sz w:val="18"/>
                <w:szCs w:val="18"/>
                <w:lang w:val="en-GB"/>
              </w:rPr>
              <w:t xml:space="preserve"> to SDGs, by mapping outputs and outcomes on core indicators using the methodology approved in 2017 (which is currently being reviewed to ensure that the matching exercise undertaken in 2017 is as thorough as possible). With regards to </w:t>
            </w:r>
            <w:r w:rsidRPr="00F9054B">
              <w:rPr>
                <w:b/>
                <w:bCs/>
                <w:sz w:val="18"/>
                <w:szCs w:val="18"/>
                <w:lang w:val="en-GB"/>
              </w:rPr>
              <w:t>resilience</w:t>
            </w:r>
            <w:r w:rsidRPr="00F9054B">
              <w:rPr>
                <w:sz w:val="18"/>
                <w:szCs w:val="18"/>
                <w:lang w:val="en-GB"/>
              </w:rPr>
              <w:t xml:space="preserve">, a new indicator has been included in Tier III which maps the number of projects designed to build adaptive capacity. As mentioned during the Executive Board, while methodologies exist to track improvements in resilience, and some projects with very specific focus are using such methodologies, IFAD has not of yet determined whether such an approach should be taken across all projects and therefore reflected in the RMF. </w:t>
            </w:r>
          </w:p>
          <w:p w:rsidR="00F9054B" w:rsidRPr="00F9054B" w:rsidRDefault="00F9054B" w:rsidP="00F9054B">
            <w:pPr>
              <w:rPr>
                <w:b/>
                <w:bCs/>
                <w:sz w:val="18"/>
                <w:szCs w:val="18"/>
                <w:lang w:val="en-GB"/>
              </w:rPr>
            </w:pPr>
            <w:r w:rsidRPr="00F9054B">
              <w:rPr>
                <w:b/>
                <w:bCs/>
                <w:sz w:val="18"/>
                <w:szCs w:val="18"/>
                <w:lang w:val="en-GB"/>
              </w:rPr>
              <w:t>Tier II</w:t>
            </w:r>
          </w:p>
          <w:p w:rsidR="00F9054B" w:rsidRPr="00F9054B" w:rsidRDefault="00F9054B" w:rsidP="00F9054B">
            <w:pPr>
              <w:rPr>
                <w:sz w:val="18"/>
                <w:szCs w:val="18"/>
                <w:lang w:val="en-GB"/>
              </w:rPr>
            </w:pPr>
            <w:r w:rsidRPr="00F9054B">
              <w:rPr>
                <w:sz w:val="18"/>
                <w:szCs w:val="18"/>
                <w:lang w:val="en-GB"/>
              </w:rPr>
              <w:t xml:space="preserve">The methodology for measuring 2.1 indicators will build on the experience IFAD has gained in IFAD10 and IFAD11 as the only organisation undertaking impact assessments. As discussed with the Evaluation Committee in June, for IFAD12 the methodology will be further refined in the context of the update of the Development Effectiveness Framework. As regards Indicator 2.1.5, this is the same impact assessment indicator as contained in IFAD11, which measures, using control groups, the impact of IFAD’s projects on nutrition outcomes.  Indicators in the second section of tier II (2.2) will be tracked using IFAD’s core indicators, which were shared with the Executive Board in 2017, some of which are being refined. While output indicators draw on project level M&amp;E systems, outcome indicators will use the recently finalised core outcome indicator survey at baseline, mid-point and end of projects to survey beneficiaries (and control groups, at completion) to determine IFAD’s contribution to outcomes. Minimum Dietary Diversity will be assessed through as specific set of question in this core outcome indicator survey as well, rather than using national surveys. </w:t>
            </w:r>
          </w:p>
          <w:p w:rsidR="0022048C" w:rsidRDefault="00F9054B" w:rsidP="0022048C">
            <w:pPr>
              <w:keepNext/>
              <w:keepLines/>
              <w:rPr>
                <w:b/>
                <w:bCs/>
                <w:sz w:val="18"/>
                <w:szCs w:val="18"/>
                <w:lang w:val="en-GB"/>
              </w:rPr>
            </w:pPr>
            <w:r w:rsidRPr="00F9054B">
              <w:rPr>
                <w:b/>
                <w:bCs/>
                <w:sz w:val="18"/>
                <w:szCs w:val="18"/>
                <w:lang w:val="en-GB"/>
              </w:rPr>
              <w:lastRenderedPageBreak/>
              <w:t>Tier III</w:t>
            </w:r>
          </w:p>
          <w:p w:rsidR="00F9054B" w:rsidRPr="00F9054B" w:rsidRDefault="00F9054B" w:rsidP="0022048C">
            <w:pPr>
              <w:rPr>
                <w:sz w:val="18"/>
                <w:szCs w:val="18"/>
                <w:lang w:val="en-GB"/>
              </w:rPr>
            </w:pPr>
            <w:r w:rsidRPr="00F9054B">
              <w:rPr>
                <w:sz w:val="18"/>
                <w:szCs w:val="18"/>
                <w:lang w:val="en-GB"/>
              </w:rPr>
              <w:t>IFAD remains open to suggestions about how to operationalize performance management in the RMF, though to date it has not been included. Risk is being monitored through the corporate risk dashboard, and further attention to risk is being given to strengthening IFAD’s risk management capacity through the creation of dedicated positions to address both operational and programming risk.</w:t>
            </w:r>
          </w:p>
          <w:p w:rsidR="00762AC7" w:rsidRPr="00762AC7" w:rsidRDefault="00F9054B" w:rsidP="00F9054B">
            <w:pPr>
              <w:rPr>
                <w:sz w:val="18"/>
                <w:szCs w:val="18"/>
              </w:rPr>
            </w:pPr>
            <w:r w:rsidRPr="00F9054B">
              <w:rPr>
                <w:sz w:val="18"/>
                <w:szCs w:val="18"/>
                <w:lang w:val="en-GB"/>
              </w:rPr>
              <w:t>Action plans on sustainability and efficiency have been included as commitments in the IFAD12 commitment matrix. Targets remain quite stretching for both topics (85% and 80%, respectively) for indicators in these areas based on PCR ratings. Also, the methodologies associated to these indicators are being reviewed to ensure they best measure performance in these areas through the revision of the evaluation manual in 2021. Finally, given the ongoing situation with COVID-19, the co-financing target has been maintained from IFAD11. Management believes that the domestic co-financing target in particular is sensitive to the extreme fiscal situation created by COVID-19. It is also worth noting that domestic cofinancing already constitutes the majority of cofinancing associated to IFAD-financed projects</w:t>
            </w:r>
          </w:p>
          <w:p w:rsidR="00762AC7" w:rsidRPr="00762AC7" w:rsidRDefault="00762AC7" w:rsidP="007C5FC9">
            <w:pPr>
              <w:rPr>
                <w:sz w:val="18"/>
                <w:szCs w:val="18"/>
              </w:rPr>
            </w:pPr>
          </w:p>
          <w:p w:rsidR="00762AC7" w:rsidRPr="00762AC7" w:rsidRDefault="00762AC7" w:rsidP="007C5FC9">
            <w:pPr>
              <w:rPr>
                <w:sz w:val="18"/>
                <w:szCs w:val="18"/>
              </w:rPr>
            </w:pPr>
          </w:p>
          <w:p w:rsidR="00762AC7" w:rsidRPr="00762AC7" w:rsidRDefault="00762AC7" w:rsidP="007C5FC9">
            <w:pPr>
              <w:rPr>
                <w:sz w:val="18"/>
                <w:szCs w:val="18"/>
              </w:rPr>
            </w:pPr>
          </w:p>
          <w:p w:rsidR="00762AC7" w:rsidRPr="00762AC7" w:rsidRDefault="00762AC7" w:rsidP="007C5FC9">
            <w:pPr>
              <w:rPr>
                <w:sz w:val="18"/>
                <w:szCs w:val="18"/>
              </w:rPr>
            </w:pPr>
          </w:p>
        </w:tc>
      </w:tr>
    </w:tbl>
    <w:p w:rsidR="00A47A56" w:rsidRDefault="00762AC7">
      <w:r>
        <w:rPr>
          <w:b/>
          <w:bCs/>
        </w:rPr>
        <w:br w:type="page"/>
      </w:r>
    </w:p>
    <w:tbl>
      <w:tblPr>
        <w:tblStyle w:val="TableGrid"/>
        <w:tblW w:w="14029" w:type="dxa"/>
        <w:tblLayout w:type="fixed"/>
        <w:tblLook w:val="04A0" w:firstRow="1" w:lastRow="0" w:firstColumn="1" w:lastColumn="0" w:noHBand="0" w:noVBand="1"/>
      </w:tblPr>
      <w:tblGrid>
        <w:gridCol w:w="7083"/>
        <w:gridCol w:w="6946"/>
      </w:tblGrid>
      <w:tr w:rsidR="00D11717" w:rsidRPr="00762AC7" w:rsidTr="00A47A56">
        <w:trPr>
          <w:trHeight w:val="519"/>
          <w:tblHeader/>
        </w:trPr>
        <w:tc>
          <w:tcPr>
            <w:tcW w:w="7083" w:type="dxa"/>
            <w:shd w:val="clear" w:color="auto" w:fill="E5DFEC" w:themeFill="accent4" w:themeFillTint="33"/>
            <w:vAlign w:val="center"/>
          </w:tcPr>
          <w:p w:rsidR="00D11717" w:rsidRPr="00762AC7" w:rsidRDefault="00D11717" w:rsidP="00A47A56">
            <w:pPr>
              <w:jc w:val="center"/>
              <w:rPr>
                <w:b/>
                <w:sz w:val="18"/>
                <w:szCs w:val="18"/>
              </w:rPr>
            </w:pPr>
            <w:r w:rsidRPr="00762AC7">
              <w:rPr>
                <w:b/>
                <w:sz w:val="18"/>
                <w:szCs w:val="18"/>
              </w:rPr>
              <w:lastRenderedPageBreak/>
              <w:t>Comments</w:t>
            </w:r>
            <w:r>
              <w:rPr>
                <w:b/>
                <w:sz w:val="18"/>
                <w:szCs w:val="18"/>
              </w:rPr>
              <w:t xml:space="preserve"> from </w:t>
            </w:r>
            <w:r w:rsidR="00A47A56">
              <w:rPr>
                <w:b/>
                <w:sz w:val="18"/>
                <w:szCs w:val="18"/>
              </w:rPr>
              <w:t>Austria</w:t>
            </w:r>
          </w:p>
        </w:tc>
        <w:tc>
          <w:tcPr>
            <w:tcW w:w="6946" w:type="dxa"/>
            <w:shd w:val="clear" w:color="auto" w:fill="E5DFEC" w:themeFill="accent4" w:themeFillTint="33"/>
            <w:vAlign w:val="center"/>
          </w:tcPr>
          <w:p w:rsidR="00D11717" w:rsidRPr="00762AC7" w:rsidRDefault="00D11717" w:rsidP="00DD616F">
            <w:pPr>
              <w:jc w:val="center"/>
              <w:rPr>
                <w:b/>
                <w:sz w:val="18"/>
                <w:szCs w:val="18"/>
              </w:rPr>
            </w:pPr>
            <w:r>
              <w:rPr>
                <w:b/>
                <w:sz w:val="18"/>
                <w:szCs w:val="18"/>
              </w:rPr>
              <w:t>Management</w:t>
            </w:r>
            <w:r w:rsidRPr="00762AC7">
              <w:rPr>
                <w:b/>
                <w:sz w:val="18"/>
                <w:szCs w:val="18"/>
              </w:rPr>
              <w:t xml:space="preserve"> Response</w:t>
            </w:r>
          </w:p>
        </w:tc>
      </w:tr>
      <w:tr w:rsidR="00762AC7" w:rsidRPr="00762AC7" w:rsidTr="00A47A56">
        <w:tc>
          <w:tcPr>
            <w:tcW w:w="7083" w:type="dxa"/>
          </w:tcPr>
          <w:p w:rsidR="0022048C" w:rsidRDefault="0022048C" w:rsidP="0022048C">
            <w:pPr>
              <w:pStyle w:val="ListParagraph"/>
              <w:spacing w:before="0"/>
              <w:ind w:left="720" w:firstLine="0"/>
              <w:rPr>
                <w:sz w:val="18"/>
                <w:szCs w:val="18"/>
                <w:lang w:val="en-GB"/>
              </w:rPr>
            </w:pPr>
          </w:p>
          <w:p w:rsidR="00A47A56" w:rsidRPr="00A47A56" w:rsidRDefault="00A47A56" w:rsidP="00A47A56">
            <w:pPr>
              <w:pStyle w:val="ListParagraph"/>
              <w:numPr>
                <w:ilvl w:val="0"/>
                <w:numId w:val="36"/>
              </w:numPr>
              <w:spacing w:before="0"/>
              <w:rPr>
                <w:sz w:val="18"/>
                <w:szCs w:val="18"/>
                <w:lang w:val="en-GB"/>
              </w:rPr>
            </w:pPr>
            <w:r w:rsidRPr="00A47A56">
              <w:rPr>
                <w:sz w:val="18"/>
                <w:szCs w:val="18"/>
                <w:lang w:val="en-GB"/>
              </w:rPr>
              <w:t>Thank you for giving member countries the opportunity to provide written comments and pose question on the proposed IFAD 12 Results Management Framework in advance of the meeting scheduled for 22 September 2020.</w:t>
            </w:r>
          </w:p>
          <w:p w:rsidR="00A47A56" w:rsidRPr="00A47A56" w:rsidRDefault="00A47A56" w:rsidP="00A47A56">
            <w:pPr>
              <w:pStyle w:val="ListParagraph"/>
              <w:numPr>
                <w:ilvl w:val="0"/>
                <w:numId w:val="36"/>
              </w:numPr>
              <w:spacing w:before="0"/>
              <w:rPr>
                <w:sz w:val="18"/>
                <w:szCs w:val="18"/>
                <w:lang w:val="en-GB"/>
              </w:rPr>
            </w:pPr>
            <w:r w:rsidRPr="00A47A56">
              <w:rPr>
                <w:sz w:val="18"/>
                <w:szCs w:val="18"/>
                <w:lang w:val="en-GB"/>
              </w:rPr>
              <w:t>The document contains a range of indicators but no targets are included. Moreover, most of the indicators to measure progress in the five mainstreaming themes, as presented in the paper “IFAD 12: Deepening Impact and Building Resilience through Mainstreaming” and as discussed in the July meeting, are not reflected. For these indicators targets have already been set. Will we be presented with a complete document that contains all indicators, a baseline and respective targets at a later stage of the replenishment consultations? In order to analyse the paper and IFAD’s ambitions for IFAD 12 we need to have a complete picture of the IFAD 12 Results Management Framework.</w:t>
            </w:r>
          </w:p>
          <w:p w:rsidR="00A47A56" w:rsidRPr="00A47A56" w:rsidRDefault="00A47A56" w:rsidP="00A47A56">
            <w:pPr>
              <w:pStyle w:val="ListParagraph"/>
              <w:numPr>
                <w:ilvl w:val="0"/>
                <w:numId w:val="36"/>
              </w:numPr>
              <w:spacing w:before="0"/>
              <w:rPr>
                <w:sz w:val="18"/>
                <w:szCs w:val="18"/>
                <w:lang w:val="en-GB"/>
              </w:rPr>
            </w:pPr>
            <w:r w:rsidRPr="00A47A56">
              <w:rPr>
                <w:sz w:val="18"/>
                <w:szCs w:val="18"/>
                <w:lang w:val="en-GB"/>
              </w:rPr>
              <w:t>In addition, we wonder if there is a way to measure and record cumulative results achieved over the IFAD 12 period (2022-2024)?</w:t>
            </w:r>
          </w:p>
          <w:p w:rsidR="00A47A56" w:rsidRPr="00A47A56" w:rsidRDefault="00A47A56" w:rsidP="00A47A56">
            <w:pPr>
              <w:pStyle w:val="ListParagraph"/>
              <w:numPr>
                <w:ilvl w:val="0"/>
                <w:numId w:val="36"/>
              </w:numPr>
              <w:spacing w:before="0"/>
              <w:rPr>
                <w:sz w:val="18"/>
                <w:szCs w:val="18"/>
                <w:lang w:val="en-GB"/>
              </w:rPr>
            </w:pPr>
            <w:r w:rsidRPr="00A47A56">
              <w:rPr>
                <w:sz w:val="18"/>
                <w:szCs w:val="18"/>
                <w:lang w:val="en-GB"/>
              </w:rPr>
              <w:t>Finally, can you please explain the difference between Indicator 3.1.7 and 3.2.7, both named “Percentage of operations with activities or components that advance transparency in borrowing countries”.</w:t>
            </w:r>
          </w:p>
          <w:p w:rsidR="00D11717" w:rsidRDefault="00D11717" w:rsidP="007C5FC9">
            <w:pPr>
              <w:rPr>
                <w:rFonts w:eastAsia="Verdana" w:cs="Verdana"/>
                <w:sz w:val="18"/>
                <w:szCs w:val="18"/>
              </w:rPr>
            </w:pPr>
          </w:p>
          <w:p w:rsidR="00D11717" w:rsidRPr="00762AC7" w:rsidRDefault="00D11717" w:rsidP="007C5FC9">
            <w:pPr>
              <w:rPr>
                <w:rFonts w:eastAsia="Verdana" w:cs="Verdana"/>
                <w:sz w:val="18"/>
                <w:szCs w:val="18"/>
              </w:rPr>
            </w:pPr>
          </w:p>
        </w:tc>
        <w:tc>
          <w:tcPr>
            <w:tcW w:w="6946" w:type="dxa"/>
          </w:tcPr>
          <w:p w:rsidR="0022048C" w:rsidRDefault="0022048C" w:rsidP="0022048C">
            <w:pPr>
              <w:rPr>
                <w:sz w:val="18"/>
                <w:szCs w:val="18"/>
                <w:lang w:val="en-GB"/>
              </w:rPr>
            </w:pPr>
          </w:p>
          <w:p w:rsidR="00A47A56" w:rsidRPr="00A47A56" w:rsidRDefault="00A47A56" w:rsidP="00A47A56">
            <w:pPr>
              <w:spacing w:after="160" w:line="259" w:lineRule="auto"/>
              <w:rPr>
                <w:rFonts w:ascii="Calibri" w:eastAsia="Calibri" w:hAnsi="Calibri"/>
                <w:color w:val="FF0000"/>
                <w:sz w:val="22"/>
                <w:szCs w:val="22"/>
                <w:lang w:val="en-GB"/>
              </w:rPr>
            </w:pPr>
            <w:r w:rsidRPr="00A47A56">
              <w:rPr>
                <w:sz w:val="18"/>
                <w:szCs w:val="18"/>
                <w:lang w:val="en-GB"/>
              </w:rPr>
              <w:t>Management thanks Austria for the detailed comments. The targets are included in the document for consultation at the inter-sessional on the 22nd of September. New, and more ambitious, mainstreaming targets are included in the RMF, but not all indicators in the July mainstreaming paper are included, as the RMF needs to balance between levels of results and reflect all corporate priorities. While the RIDE reports annually on progress on the RMF, and over the IFAD11 period has included an annex on mainstreaming, for IFAD12 Management is proposing to have a dedicated annual report on mainstreaming, supplementing the RIDE, to report in a consolidated manner on the full range of indicators from mainstreaming paper and to ensure adequate horizontal linkages and attention to the themes. Cumulative results are reported at the MTR of IFAD12, and at the end of the cycle, in the last RIDE for IFAD12. Finally, management apologises for the duplication noted on 3.1.7 and 3.2.7: in the 22nd September draft, two transparency outcomes are included in 3.8</w:t>
            </w:r>
            <w:r w:rsidRPr="00A47A56">
              <w:rPr>
                <w:rFonts w:ascii="Calibri" w:eastAsia="Calibri" w:hAnsi="Calibri"/>
                <w:color w:val="FF0000"/>
                <w:sz w:val="22"/>
                <w:szCs w:val="22"/>
                <w:lang w:val="en-GB"/>
              </w:rPr>
              <w:t xml:space="preserve">. </w:t>
            </w:r>
          </w:p>
          <w:p w:rsidR="00762AC7" w:rsidRPr="00A47A56" w:rsidRDefault="00762AC7" w:rsidP="007C5FC9">
            <w:pPr>
              <w:rPr>
                <w:rFonts w:eastAsia="Verdana" w:cs="Verdana"/>
                <w:sz w:val="18"/>
                <w:szCs w:val="18"/>
                <w:lang w:val="en-GB"/>
              </w:rPr>
            </w:pPr>
          </w:p>
        </w:tc>
      </w:tr>
    </w:tbl>
    <w:p w:rsidR="00762AC7" w:rsidRDefault="00762AC7" w:rsidP="006942D8">
      <w:pPr>
        <w:pStyle w:val="Heading"/>
        <w:rPr>
          <w:b w:val="0"/>
          <w:bCs w:val="0"/>
          <w:sz w:val="20"/>
          <w:szCs w:val="20"/>
        </w:rPr>
      </w:pPr>
    </w:p>
    <w:p w:rsidR="00A47A56" w:rsidRDefault="00A47A56" w:rsidP="006942D8">
      <w:pPr>
        <w:pStyle w:val="Heading"/>
        <w:rPr>
          <w:b w:val="0"/>
          <w:bCs w:val="0"/>
          <w:sz w:val="20"/>
          <w:szCs w:val="20"/>
        </w:rPr>
      </w:pPr>
    </w:p>
    <w:p w:rsidR="00A47A56" w:rsidRDefault="00A47A56" w:rsidP="006942D8">
      <w:pPr>
        <w:pStyle w:val="Heading"/>
        <w:rPr>
          <w:b w:val="0"/>
          <w:bCs w:val="0"/>
          <w:sz w:val="20"/>
          <w:szCs w:val="20"/>
        </w:rPr>
      </w:pPr>
    </w:p>
    <w:p w:rsidR="0022048C" w:rsidRDefault="0022048C">
      <w:r>
        <w:rPr>
          <w:b/>
          <w:bCs/>
        </w:rPr>
        <w:br w:type="page"/>
      </w:r>
    </w:p>
    <w:p w:rsidR="00A47A56" w:rsidRDefault="00A47A56" w:rsidP="006942D8">
      <w:pPr>
        <w:pStyle w:val="Heading"/>
        <w:rPr>
          <w:b w:val="0"/>
          <w:bCs w:val="0"/>
          <w:sz w:val="20"/>
          <w:szCs w:val="20"/>
        </w:rPr>
      </w:pPr>
    </w:p>
    <w:tbl>
      <w:tblPr>
        <w:tblStyle w:val="TableGrid"/>
        <w:tblW w:w="14029" w:type="dxa"/>
        <w:tblLayout w:type="fixed"/>
        <w:tblLook w:val="04A0" w:firstRow="1" w:lastRow="0" w:firstColumn="1" w:lastColumn="0" w:noHBand="0" w:noVBand="1"/>
      </w:tblPr>
      <w:tblGrid>
        <w:gridCol w:w="7083"/>
        <w:gridCol w:w="6946"/>
      </w:tblGrid>
      <w:tr w:rsidR="00A47A56" w:rsidRPr="00762AC7" w:rsidTr="00A47A56">
        <w:trPr>
          <w:trHeight w:val="519"/>
          <w:tblHeader/>
        </w:trPr>
        <w:tc>
          <w:tcPr>
            <w:tcW w:w="7083" w:type="dxa"/>
            <w:shd w:val="clear" w:color="auto" w:fill="E5DFEC" w:themeFill="accent4" w:themeFillTint="33"/>
            <w:vAlign w:val="center"/>
          </w:tcPr>
          <w:p w:rsidR="00A47A56" w:rsidRPr="00762AC7" w:rsidRDefault="00A47A56" w:rsidP="00A47A56">
            <w:pPr>
              <w:jc w:val="center"/>
              <w:rPr>
                <w:b/>
                <w:sz w:val="18"/>
                <w:szCs w:val="18"/>
              </w:rPr>
            </w:pPr>
            <w:r w:rsidRPr="00762AC7">
              <w:rPr>
                <w:b/>
                <w:sz w:val="18"/>
                <w:szCs w:val="18"/>
              </w:rPr>
              <w:t>Comments</w:t>
            </w:r>
            <w:r>
              <w:rPr>
                <w:b/>
                <w:sz w:val="18"/>
                <w:szCs w:val="18"/>
              </w:rPr>
              <w:t xml:space="preserve"> from United States</w:t>
            </w:r>
          </w:p>
        </w:tc>
        <w:tc>
          <w:tcPr>
            <w:tcW w:w="6946" w:type="dxa"/>
            <w:shd w:val="clear" w:color="auto" w:fill="E5DFEC" w:themeFill="accent4" w:themeFillTint="33"/>
            <w:vAlign w:val="center"/>
          </w:tcPr>
          <w:p w:rsidR="00A47A56" w:rsidRPr="00762AC7" w:rsidRDefault="00A47A56" w:rsidP="00B65626">
            <w:pPr>
              <w:jc w:val="center"/>
              <w:rPr>
                <w:b/>
                <w:sz w:val="18"/>
                <w:szCs w:val="18"/>
              </w:rPr>
            </w:pPr>
            <w:r>
              <w:rPr>
                <w:b/>
                <w:sz w:val="18"/>
                <w:szCs w:val="18"/>
              </w:rPr>
              <w:t>Management</w:t>
            </w:r>
            <w:r w:rsidRPr="00762AC7">
              <w:rPr>
                <w:b/>
                <w:sz w:val="18"/>
                <w:szCs w:val="18"/>
              </w:rPr>
              <w:t xml:space="preserve"> Response</w:t>
            </w:r>
          </w:p>
        </w:tc>
      </w:tr>
      <w:tr w:rsidR="00A47A56" w:rsidRPr="00762AC7" w:rsidTr="00A47A56">
        <w:tc>
          <w:tcPr>
            <w:tcW w:w="7083" w:type="dxa"/>
          </w:tcPr>
          <w:p w:rsidR="00A47A56" w:rsidRDefault="00A47A56" w:rsidP="00B65626">
            <w:pPr>
              <w:rPr>
                <w:rFonts w:eastAsia="Verdana" w:cs="Verdana"/>
                <w:sz w:val="18"/>
                <w:szCs w:val="18"/>
              </w:rPr>
            </w:pPr>
          </w:p>
          <w:p w:rsidR="00A47A56" w:rsidRPr="00A47A56" w:rsidRDefault="00A47A56" w:rsidP="00A47A56">
            <w:pPr>
              <w:rPr>
                <w:rFonts w:eastAsia="Verdana" w:cs="Verdana"/>
                <w:sz w:val="18"/>
                <w:szCs w:val="18"/>
                <w:lang w:val="en-US"/>
              </w:rPr>
            </w:pPr>
            <w:r w:rsidRPr="00A47A56">
              <w:rPr>
                <w:rFonts w:eastAsia="Verdana" w:cs="Verdana"/>
                <w:sz w:val="18"/>
                <w:szCs w:val="18"/>
                <w:lang w:val="en-US"/>
              </w:rPr>
              <w:t xml:space="preserve">We understand that IFAD is in the process of refining its level of ambition for IFAD-12.  We appreciate the intersessional discussion on the Results Management Framework, however we are concerned with the proposal to increase the target for climate finance from 25 percent to 35 percent of the Program of Loans and Grants.  As we have said previously, we encourage IFAD to channel its climate ambition to ASAP+ (pending approval), which is designed expressly for this purpose.  We caution against increasing the proportion of the general Program of Loans and Grants associated with climate finance as this will </w:t>
            </w:r>
            <w:r w:rsidRPr="00A47A56">
              <w:rPr>
                <w:rFonts w:eastAsia="Verdana" w:cs="Verdana"/>
                <w:i/>
                <w:iCs/>
                <w:sz w:val="18"/>
                <w:szCs w:val="18"/>
                <w:lang w:val="en-US"/>
              </w:rPr>
              <w:t>reduce</w:t>
            </w:r>
            <w:r w:rsidRPr="00A47A56">
              <w:rPr>
                <w:rFonts w:eastAsia="Verdana" w:cs="Verdana"/>
                <w:sz w:val="18"/>
                <w:szCs w:val="18"/>
                <w:lang w:val="en-US"/>
              </w:rPr>
              <w:t xml:space="preserve"> the flexibility that IFAD has in addressing its core mandate of achieving rural transformation.  </w:t>
            </w:r>
          </w:p>
          <w:p w:rsidR="00A47A56" w:rsidRPr="00A47A56" w:rsidRDefault="00A47A56" w:rsidP="00A47A56">
            <w:pPr>
              <w:rPr>
                <w:rFonts w:eastAsia="Verdana" w:cs="Verdana"/>
                <w:sz w:val="18"/>
                <w:szCs w:val="18"/>
                <w:lang w:val="en-US"/>
              </w:rPr>
            </w:pPr>
          </w:p>
          <w:p w:rsidR="00A47A56" w:rsidRPr="00A47A56" w:rsidRDefault="00A47A56" w:rsidP="00A47A56">
            <w:pPr>
              <w:rPr>
                <w:rFonts w:eastAsia="Verdana" w:cs="Verdana"/>
                <w:sz w:val="18"/>
                <w:szCs w:val="18"/>
                <w:lang w:val="en-US"/>
              </w:rPr>
            </w:pPr>
            <w:r w:rsidRPr="00A47A56">
              <w:rPr>
                <w:rFonts w:eastAsia="Verdana" w:cs="Verdana"/>
                <w:sz w:val="18"/>
                <w:szCs w:val="18"/>
                <w:lang w:val="en-US"/>
              </w:rPr>
              <w:t xml:space="preserve">At the same time, we would like to note with appreciation the increased focus on results management, alignment with the IFIs’ results frameworks, and efforts to incorporate indicators associated with the mainstreaming themes.  In this regard, we welcome the introduction of the job creation indicator, which will capture important results that affect rural youth.  We hope to engage in further discussions on the RMF with  Members and Management in the coming weeks on how best to </w:t>
            </w:r>
            <w:r w:rsidRPr="00A47A56">
              <w:rPr>
                <w:rFonts w:eastAsia="Verdana" w:cs="Verdana"/>
                <w:i/>
                <w:iCs/>
                <w:sz w:val="18"/>
                <w:szCs w:val="18"/>
                <w:lang w:val="en-US"/>
              </w:rPr>
              <w:t>streamline</w:t>
            </w:r>
            <w:r w:rsidRPr="00A47A56">
              <w:rPr>
                <w:rFonts w:eastAsia="Verdana" w:cs="Verdana"/>
                <w:sz w:val="18"/>
                <w:szCs w:val="18"/>
                <w:lang w:val="en-US"/>
              </w:rPr>
              <w:t xml:space="preserve"> this important tool for accountability and learning.  </w:t>
            </w:r>
          </w:p>
          <w:p w:rsidR="00A47A56" w:rsidRDefault="00A47A56" w:rsidP="00B65626">
            <w:pPr>
              <w:rPr>
                <w:rFonts w:eastAsia="Verdana" w:cs="Verdana"/>
                <w:sz w:val="18"/>
                <w:szCs w:val="18"/>
              </w:rPr>
            </w:pPr>
          </w:p>
          <w:p w:rsidR="00A47A56" w:rsidRPr="00762AC7" w:rsidRDefault="00A47A56" w:rsidP="00B65626">
            <w:pPr>
              <w:rPr>
                <w:rFonts w:eastAsia="Verdana" w:cs="Verdana"/>
                <w:sz w:val="18"/>
                <w:szCs w:val="18"/>
              </w:rPr>
            </w:pPr>
          </w:p>
        </w:tc>
        <w:tc>
          <w:tcPr>
            <w:tcW w:w="6946" w:type="dxa"/>
          </w:tcPr>
          <w:p w:rsidR="00A47A56" w:rsidRDefault="00A47A56" w:rsidP="00B65626">
            <w:pPr>
              <w:rPr>
                <w:rFonts w:eastAsia="Verdana" w:cs="Verdana"/>
                <w:sz w:val="18"/>
                <w:szCs w:val="18"/>
              </w:rPr>
            </w:pPr>
          </w:p>
          <w:p w:rsidR="00EE2D2D" w:rsidRDefault="00120FF2" w:rsidP="00EE2D2D">
            <w:pPr>
              <w:rPr>
                <w:rFonts w:eastAsia="Verdana" w:cs="Verdana"/>
                <w:sz w:val="18"/>
                <w:szCs w:val="18"/>
              </w:rPr>
            </w:pPr>
            <w:r>
              <w:rPr>
                <w:rFonts w:eastAsia="Verdana" w:cs="Verdana"/>
                <w:sz w:val="18"/>
                <w:szCs w:val="18"/>
              </w:rPr>
              <w:t>Management would like to</w:t>
            </w:r>
            <w:r w:rsidR="00EE2D2D">
              <w:rPr>
                <w:rFonts w:eastAsia="Verdana" w:cs="Verdana"/>
                <w:sz w:val="18"/>
                <w:szCs w:val="18"/>
              </w:rPr>
              <w:t xml:space="preserve"> thank the</w:t>
            </w:r>
            <w:r>
              <w:rPr>
                <w:rFonts w:eastAsia="Verdana" w:cs="Verdana"/>
                <w:sz w:val="18"/>
                <w:szCs w:val="18"/>
              </w:rPr>
              <w:t xml:space="preserve"> US for its comments on the IFAD12 RMF</w:t>
            </w:r>
            <w:r w:rsidR="00EE2D2D">
              <w:rPr>
                <w:rFonts w:eastAsia="Verdana" w:cs="Verdana"/>
                <w:sz w:val="18"/>
                <w:szCs w:val="18"/>
              </w:rPr>
              <w:t>. With regards to climate finance, the 35% climate finance being proposed in the IFAD12 RMF is consistent with the strategy approved by the Executive Board in 2018 (“IFAD Strategy and Action Plan on Environment and Climate Change 2019-2025” EB/2018/125/R.12). In that document, an agreed output is: “a</w:t>
            </w:r>
            <w:r w:rsidR="00EE2D2D" w:rsidRPr="00EE2D2D">
              <w:rPr>
                <w:rFonts w:eastAsia="Verdana" w:cs="Verdana"/>
                <w:sz w:val="18"/>
                <w:szCs w:val="18"/>
              </w:rPr>
              <w:t>t least 25 per cent of IFAD’s PoLG allocated to climate-focused activities in</w:t>
            </w:r>
            <w:r w:rsidR="00EE2D2D">
              <w:rPr>
                <w:rFonts w:eastAsia="Verdana" w:cs="Verdana"/>
                <w:sz w:val="18"/>
                <w:szCs w:val="18"/>
              </w:rPr>
              <w:t xml:space="preserve"> </w:t>
            </w:r>
            <w:r w:rsidR="00EE2D2D" w:rsidRPr="00EE2D2D">
              <w:rPr>
                <w:rFonts w:eastAsia="Verdana" w:cs="Verdana"/>
                <w:sz w:val="18"/>
                <w:szCs w:val="18"/>
              </w:rPr>
              <w:t>IFAD11 and at least 35 per cent in IFAD12.</w:t>
            </w:r>
            <w:r w:rsidR="00EE2D2D">
              <w:rPr>
                <w:rFonts w:eastAsia="Verdana" w:cs="Verdana"/>
                <w:sz w:val="18"/>
                <w:szCs w:val="18"/>
              </w:rPr>
              <w:t>” As such, management has kept to the agreed level of climate finance for IFAD12, and will continue to focus on raising climate ambition in ASAP+ (pending approval).</w:t>
            </w:r>
          </w:p>
          <w:p w:rsidR="00EE2D2D" w:rsidRDefault="00EE2D2D" w:rsidP="00EE2D2D">
            <w:pPr>
              <w:rPr>
                <w:rFonts w:eastAsia="Verdana" w:cs="Verdana"/>
                <w:sz w:val="18"/>
                <w:szCs w:val="18"/>
              </w:rPr>
            </w:pPr>
          </w:p>
          <w:p w:rsidR="00EE2D2D" w:rsidRPr="00762AC7" w:rsidRDefault="00EE2D2D" w:rsidP="00EE2D2D">
            <w:pPr>
              <w:rPr>
                <w:rFonts w:eastAsia="Verdana" w:cs="Verdana"/>
                <w:sz w:val="18"/>
                <w:szCs w:val="18"/>
              </w:rPr>
            </w:pPr>
            <w:bookmarkStart w:id="0" w:name="_GoBack"/>
            <w:bookmarkEnd w:id="0"/>
            <w:r>
              <w:rPr>
                <w:rFonts w:eastAsia="Verdana" w:cs="Verdana"/>
                <w:sz w:val="18"/>
                <w:szCs w:val="18"/>
              </w:rPr>
              <w:t xml:space="preserve">We appreciate the US support for innovations on results management, alignment, mainstreaming and jobs, and are working to streamline the indicators based on feedback received at the intersessional meeting. </w:t>
            </w:r>
          </w:p>
        </w:tc>
      </w:tr>
    </w:tbl>
    <w:p w:rsidR="00A47A56" w:rsidRDefault="00A47A56" w:rsidP="006942D8">
      <w:pPr>
        <w:pStyle w:val="Heading"/>
        <w:rPr>
          <w:b w:val="0"/>
          <w:bCs w:val="0"/>
          <w:sz w:val="20"/>
          <w:szCs w:val="20"/>
        </w:rPr>
      </w:pPr>
    </w:p>
    <w:sectPr w:rsidR="00A47A56" w:rsidSect="006942D8">
      <w:headerReference w:type="default" r:id="rId16"/>
      <w:footerReference w:type="even" r:id="rId17"/>
      <w:footerReference w:type="default" r:id="rId18"/>
      <w:pgSz w:w="16834" w:h="11909" w:orient="landscape" w:code="9"/>
      <w:pgMar w:top="1418" w:right="1440" w:bottom="1418"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0D" w:rsidRDefault="0042040D">
      <w:r>
        <w:separator/>
      </w:r>
    </w:p>
  </w:endnote>
  <w:endnote w:type="continuationSeparator" w:id="0">
    <w:p w:rsidR="0042040D" w:rsidRDefault="0042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28" w:rsidRDefault="006C7928" w:rsidP="003E4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928" w:rsidRDefault="006C7928" w:rsidP="003E4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28" w:rsidRPr="00997A10" w:rsidRDefault="006C7928" w:rsidP="006C7928">
    <w:pPr>
      <w:tabs>
        <w:tab w:val="left" w:pos="890"/>
      </w:tabs>
      <w:ind w:left="1134"/>
    </w:pPr>
  </w:p>
  <w:p w:rsidR="006C7928" w:rsidRPr="00997A10" w:rsidRDefault="006C7928" w:rsidP="006942D8">
    <w:pPr>
      <w:tabs>
        <w:tab w:val="left" w:pos="890"/>
      </w:tabs>
      <w:ind w:left="1134"/>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8E" w:rsidRDefault="003A0D8E" w:rsidP="00DA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D8E" w:rsidRDefault="003A0D8E" w:rsidP="00DA74A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17" w:rsidRDefault="00D11717" w:rsidP="0022048C">
    <w:pPr>
      <w:pStyle w:val="Footer"/>
      <w:jc w:val="center"/>
    </w:pPr>
  </w:p>
  <w:p w:rsidR="006942D8" w:rsidRPr="00A33134" w:rsidRDefault="006942D8" w:rsidP="009E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0D" w:rsidRDefault="0042040D">
      <w:r>
        <w:separator/>
      </w:r>
    </w:p>
  </w:footnote>
  <w:footnote w:type="continuationSeparator" w:id="0">
    <w:p w:rsidR="0042040D" w:rsidRDefault="0042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D8" w:rsidRDefault="006942D8" w:rsidP="009E3A5B">
    <w:pPr>
      <w:pStyle w:val="Header"/>
    </w:pPr>
  </w:p>
  <w:p w:rsidR="003A0D8E" w:rsidRPr="00C20F89" w:rsidRDefault="0022048C" w:rsidP="00C20F89">
    <w:pPr>
      <w:pStyle w:val="Header"/>
    </w:pPr>
    <w:r>
      <w:rPr>
        <w:noProof/>
        <w:lang w:val="en-GB" w:eastAsia="en-GB"/>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435600"/>
              <wp:effectExtent l="0" t="0" r="444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8C" w:rsidRPr="0022048C" w:rsidRDefault="0022048C" w:rsidP="0022048C">
                          <w:pPr>
                            <w:jc w:val="center"/>
                            <w:rPr>
                              <w:sz w:val="16"/>
                              <w:szCs w:val="16"/>
                            </w:rPr>
                          </w:pPr>
                          <w:r w:rsidRPr="0022048C">
                            <w:rPr>
                              <w:sz w:val="16"/>
                              <w:szCs w:val="16"/>
                            </w:rPr>
                            <w:fldChar w:fldCharType="begin"/>
                          </w:r>
                          <w:r w:rsidRPr="0022048C">
                            <w:rPr>
                              <w:sz w:val="16"/>
                              <w:szCs w:val="16"/>
                            </w:rPr>
                            <w:instrText xml:space="preserve"> PAGE   \* MERGEFORMAT </w:instrText>
                          </w:r>
                          <w:r w:rsidRPr="0022048C">
                            <w:rPr>
                              <w:sz w:val="16"/>
                              <w:szCs w:val="16"/>
                            </w:rPr>
                            <w:fldChar w:fldCharType="separate"/>
                          </w:r>
                          <w:r>
                            <w:rPr>
                              <w:noProof/>
                              <w:sz w:val="16"/>
                              <w:szCs w:val="16"/>
                            </w:rPr>
                            <w:t>3</w:t>
                          </w:r>
                          <w:r w:rsidRPr="0022048C">
                            <w:rPr>
                              <w:noProof/>
                              <w:sz w:val="16"/>
                              <w:szCs w:val="16"/>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3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" o:allowincell="f" stroked="f">
              <v:textbox style="layout-flow:vertical;mso-fit-shape-to-text:t" inset="0,,0">
                <w:txbxContent>
                  <w:p w:rsidR="0022048C" w:rsidRPr="0022048C" w:rsidRDefault="0022048C" w:rsidP="0022048C">
                    <w:pPr>
                      <w:jc w:val="center"/>
                      <w:rPr>
                        <w:sz w:val="16"/>
                        <w:szCs w:val="16"/>
                      </w:rPr>
                    </w:pPr>
                    <w:r w:rsidRPr="0022048C">
                      <w:rPr>
                        <w:sz w:val="16"/>
                        <w:szCs w:val="16"/>
                      </w:rPr>
                      <w:fldChar w:fldCharType="begin"/>
                    </w:r>
                    <w:r w:rsidRPr="0022048C">
                      <w:rPr>
                        <w:sz w:val="16"/>
                        <w:szCs w:val="16"/>
                      </w:rPr>
                      <w:instrText xml:space="preserve"> PAGE   \* MERGEFORMAT </w:instrText>
                    </w:r>
                    <w:r w:rsidRPr="0022048C">
                      <w:rPr>
                        <w:sz w:val="16"/>
                        <w:szCs w:val="16"/>
                      </w:rPr>
                      <w:fldChar w:fldCharType="separate"/>
                    </w:r>
                    <w:r>
                      <w:rPr>
                        <w:noProof/>
                        <w:sz w:val="16"/>
                        <w:szCs w:val="16"/>
                      </w:rPr>
                      <w:t>3</w:t>
                    </w:r>
                    <w:r w:rsidRPr="0022048C">
                      <w:rPr>
                        <w:noProof/>
                        <w:sz w:val="16"/>
                        <w:szCs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E11"/>
    <w:multiLevelType w:val="hybridMultilevel"/>
    <w:tmpl w:val="B82877EE"/>
    <w:lvl w:ilvl="0" w:tplc="2CA06BAC">
      <w:start w:val="1"/>
      <w:numFmt w:val="upperRoman"/>
      <w:pStyle w:val="Heading1"/>
      <w:lvlText w:val="%1."/>
      <w:lvlJc w:val="right"/>
      <w:pPr>
        <w:tabs>
          <w:tab w:val="num" w:pos="567"/>
        </w:tabs>
        <w:ind w:left="567" w:hanging="278"/>
      </w:pPr>
      <w:rPr>
        <w:rFonts w:ascii="Verdana" w:hAnsi="Verdana" w:hint="default"/>
        <w:b/>
        <w:i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F80E00"/>
    <w:multiLevelType w:val="hybridMultilevel"/>
    <w:tmpl w:val="B36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CFB"/>
    <w:multiLevelType w:val="hybridMultilevel"/>
    <w:tmpl w:val="DD8A82C2"/>
    <w:lvl w:ilvl="0" w:tplc="AD1EE8F0">
      <w:start w:val="1"/>
      <w:numFmt w:val="bullet"/>
      <w:lvlText w:val=""/>
      <w:lvlJc w:val="left"/>
      <w:pPr>
        <w:ind w:left="720" w:hanging="360"/>
      </w:pPr>
      <w:rPr>
        <w:rFonts w:ascii="Symbol" w:hAnsi="Symbol" w:hint="default"/>
      </w:rPr>
    </w:lvl>
    <w:lvl w:ilvl="1" w:tplc="C3BCA3DA">
      <w:start w:val="1"/>
      <w:numFmt w:val="bullet"/>
      <w:lvlText w:val="o"/>
      <w:lvlJc w:val="left"/>
      <w:pPr>
        <w:ind w:left="1440" w:hanging="360"/>
      </w:pPr>
      <w:rPr>
        <w:rFonts w:ascii="Courier New" w:hAnsi="Courier New" w:hint="default"/>
      </w:rPr>
    </w:lvl>
    <w:lvl w:ilvl="2" w:tplc="51CA1AEA">
      <w:start w:val="1"/>
      <w:numFmt w:val="bullet"/>
      <w:lvlText w:val=""/>
      <w:lvlJc w:val="left"/>
      <w:pPr>
        <w:ind w:left="2160" w:hanging="360"/>
      </w:pPr>
      <w:rPr>
        <w:rFonts w:ascii="Wingdings" w:hAnsi="Wingdings" w:hint="default"/>
      </w:rPr>
    </w:lvl>
    <w:lvl w:ilvl="3" w:tplc="CC94E95A">
      <w:start w:val="1"/>
      <w:numFmt w:val="bullet"/>
      <w:lvlText w:val=""/>
      <w:lvlJc w:val="left"/>
      <w:pPr>
        <w:ind w:left="2880" w:hanging="360"/>
      </w:pPr>
      <w:rPr>
        <w:rFonts w:ascii="Symbol" w:hAnsi="Symbol" w:hint="default"/>
      </w:rPr>
    </w:lvl>
    <w:lvl w:ilvl="4" w:tplc="B2AAC78E">
      <w:start w:val="1"/>
      <w:numFmt w:val="bullet"/>
      <w:lvlText w:val="o"/>
      <w:lvlJc w:val="left"/>
      <w:pPr>
        <w:ind w:left="3600" w:hanging="360"/>
      </w:pPr>
      <w:rPr>
        <w:rFonts w:ascii="Courier New" w:hAnsi="Courier New" w:hint="default"/>
      </w:rPr>
    </w:lvl>
    <w:lvl w:ilvl="5" w:tplc="13002F94">
      <w:start w:val="1"/>
      <w:numFmt w:val="bullet"/>
      <w:lvlText w:val=""/>
      <w:lvlJc w:val="left"/>
      <w:pPr>
        <w:ind w:left="4320" w:hanging="360"/>
      </w:pPr>
      <w:rPr>
        <w:rFonts w:ascii="Wingdings" w:hAnsi="Wingdings" w:hint="default"/>
      </w:rPr>
    </w:lvl>
    <w:lvl w:ilvl="6" w:tplc="CF72E93E">
      <w:start w:val="1"/>
      <w:numFmt w:val="bullet"/>
      <w:lvlText w:val=""/>
      <w:lvlJc w:val="left"/>
      <w:pPr>
        <w:ind w:left="5040" w:hanging="360"/>
      </w:pPr>
      <w:rPr>
        <w:rFonts w:ascii="Symbol" w:hAnsi="Symbol" w:hint="default"/>
      </w:rPr>
    </w:lvl>
    <w:lvl w:ilvl="7" w:tplc="85ACA448">
      <w:start w:val="1"/>
      <w:numFmt w:val="bullet"/>
      <w:lvlText w:val="o"/>
      <w:lvlJc w:val="left"/>
      <w:pPr>
        <w:ind w:left="5760" w:hanging="360"/>
      </w:pPr>
      <w:rPr>
        <w:rFonts w:ascii="Courier New" w:hAnsi="Courier New" w:hint="default"/>
      </w:rPr>
    </w:lvl>
    <w:lvl w:ilvl="8" w:tplc="FFC85DAE">
      <w:start w:val="1"/>
      <w:numFmt w:val="bullet"/>
      <w:lvlText w:val=""/>
      <w:lvlJc w:val="left"/>
      <w:pPr>
        <w:ind w:left="6480" w:hanging="360"/>
      </w:pPr>
      <w:rPr>
        <w:rFonts w:ascii="Wingdings" w:hAnsi="Wingdings" w:hint="default"/>
      </w:rPr>
    </w:lvl>
  </w:abstractNum>
  <w:abstractNum w:abstractNumId="3" w15:restartNumberingAfterBreak="0">
    <w:nsid w:val="119662CF"/>
    <w:multiLevelType w:val="multilevel"/>
    <w:tmpl w:val="833C2D4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216B63"/>
    <w:multiLevelType w:val="hybridMultilevel"/>
    <w:tmpl w:val="3B78EBAC"/>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40B26"/>
    <w:multiLevelType w:val="hybridMultilevel"/>
    <w:tmpl w:val="9E84D3D4"/>
    <w:lvl w:ilvl="0" w:tplc="15B06300">
      <w:start w:val="1"/>
      <w:numFmt w:val="bullet"/>
      <w:lvlText w:val=""/>
      <w:lvlJc w:val="left"/>
      <w:pPr>
        <w:ind w:left="720" w:hanging="360"/>
      </w:pPr>
      <w:rPr>
        <w:rFonts w:ascii="Symbol" w:hAnsi="Symbol" w:hint="default"/>
      </w:rPr>
    </w:lvl>
    <w:lvl w:ilvl="1" w:tplc="518E239E">
      <w:start w:val="1"/>
      <w:numFmt w:val="bullet"/>
      <w:lvlText w:val="o"/>
      <w:lvlJc w:val="left"/>
      <w:pPr>
        <w:ind w:left="1440" w:hanging="360"/>
      </w:pPr>
      <w:rPr>
        <w:rFonts w:ascii="Courier New" w:hAnsi="Courier New" w:hint="default"/>
      </w:rPr>
    </w:lvl>
    <w:lvl w:ilvl="2" w:tplc="EDF68EDA">
      <w:start w:val="1"/>
      <w:numFmt w:val="bullet"/>
      <w:lvlText w:val=""/>
      <w:lvlJc w:val="left"/>
      <w:pPr>
        <w:ind w:left="2160" w:hanging="360"/>
      </w:pPr>
      <w:rPr>
        <w:rFonts w:ascii="Wingdings" w:hAnsi="Wingdings" w:hint="default"/>
      </w:rPr>
    </w:lvl>
    <w:lvl w:ilvl="3" w:tplc="A4B06436">
      <w:start w:val="1"/>
      <w:numFmt w:val="bullet"/>
      <w:lvlText w:val=""/>
      <w:lvlJc w:val="left"/>
      <w:pPr>
        <w:ind w:left="2880" w:hanging="360"/>
      </w:pPr>
      <w:rPr>
        <w:rFonts w:ascii="Symbol" w:hAnsi="Symbol" w:hint="default"/>
      </w:rPr>
    </w:lvl>
    <w:lvl w:ilvl="4" w:tplc="DCE4CB2A">
      <w:start w:val="1"/>
      <w:numFmt w:val="bullet"/>
      <w:lvlText w:val="o"/>
      <w:lvlJc w:val="left"/>
      <w:pPr>
        <w:ind w:left="3600" w:hanging="360"/>
      </w:pPr>
      <w:rPr>
        <w:rFonts w:ascii="Courier New" w:hAnsi="Courier New" w:hint="default"/>
      </w:rPr>
    </w:lvl>
    <w:lvl w:ilvl="5" w:tplc="A6BC2780">
      <w:start w:val="1"/>
      <w:numFmt w:val="bullet"/>
      <w:lvlText w:val=""/>
      <w:lvlJc w:val="left"/>
      <w:pPr>
        <w:ind w:left="4320" w:hanging="360"/>
      </w:pPr>
      <w:rPr>
        <w:rFonts w:ascii="Wingdings" w:hAnsi="Wingdings" w:hint="default"/>
      </w:rPr>
    </w:lvl>
    <w:lvl w:ilvl="6" w:tplc="B5425536">
      <w:start w:val="1"/>
      <w:numFmt w:val="bullet"/>
      <w:lvlText w:val=""/>
      <w:lvlJc w:val="left"/>
      <w:pPr>
        <w:ind w:left="5040" w:hanging="360"/>
      </w:pPr>
      <w:rPr>
        <w:rFonts w:ascii="Symbol" w:hAnsi="Symbol" w:hint="default"/>
      </w:rPr>
    </w:lvl>
    <w:lvl w:ilvl="7" w:tplc="93D273A6">
      <w:start w:val="1"/>
      <w:numFmt w:val="bullet"/>
      <w:lvlText w:val="o"/>
      <w:lvlJc w:val="left"/>
      <w:pPr>
        <w:ind w:left="5760" w:hanging="360"/>
      </w:pPr>
      <w:rPr>
        <w:rFonts w:ascii="Courier New" w:hAnsi="Courier New" w:hint="default"/>
      </w:rPr>
    </w:lvl>
    <w:lvl w:ilvl="8" w:tplc="2174E798">
      <w:start w:val="1"/>
      <w:numFmt w:val="bullet"/>
      <w:lvlText w:val=""/>
      <w:lvlJc w:val="left"/>
      <w:pPr>
        <w:ind w:left="6480" w:hanging="360"/>
      </w:pPr>
      <w:rPr>
        <w:rFonts w:ascii="Wingdings" w:hAnsi="Wingdings" w:hint="default"/>
      </w:rPr>
    </w:lvl>
  </w:abstractNum>
  <w:abstractNum w:abstractNumId="6" w15:restartNumberingAfterBreak="0">
    <w:nsid w:val="31BA6DD5"/>
    <w:multiLevelType w:val="multilevel"/>
    <w:tmpl w:val="886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90751"/>
    <w:multiLevelType w:val="multilevel"/>
    <w:tmpl w:val="3A8C993E"/>
    <w:lvl w:ilvl="0">
      <w:start w:val="1"/>
      <w:numFmt w:val="lowerLetter"/>
      <w:pStyle w:val="ifadindent"/>
      <w:lvlText w:val="(%1)"/>
      <w:lvlJc w:val="left"/>
      <w:pPr>
        <w:tabs>
          <w:tab w:val="num" w:pos="1134"/>
        </w:tabs>
        <w:ind w:left="1134" w:hanging="567"/>
      </w:pPr>
      <w:rPr>
        <w:rFonts w:ascii="Verdana" w:hAnsi="Verdana" w:hint="default"/>
        <w:b w:val="0"/>
        <w:i w:val="0"/>
        <w:sz w:val="20"/>
      </w:rPr>
    </w:lvl>
    <w:lvl w:ilvl="1">
      <w:start w:val="1"/>
      <w:numFmt w:val="lowerRoman"/>
      <w:lvlText w:val="(%2)"/>
      <w:lvlJc w:val="left"/>
      <w:pPr>
        <w:tabs>
          <w:tab w:val="num" w:pos="1701"/>
        </w:tabs>
        <w:ind w:left="1701" w:hanging="567"/>
      </w:pPr>
      <w:rPr>
        <w:rFonts w:ascii="Verdana" w:hAnsi="Verdana" w:hint="default"/>
        <w:b w:val="0"/>
        <w:i w:val="0"/>
        <w:sz w:val="20"/>
      </w:rPr>
    </w:lvl>
    <w:lvl w:ilvl="2">
      <w:start w:val="1"/>
      <w:numFmt w:val="bullet"/>
      <w:lvlText w:val="-"/>
      <w:lvlJc w:val="left"/>
      <w:pPr>
        <w:tabs>
          <w:tab w:val="num" w:pos="1985"/>
        </w:tabs>
        <w:ind w:left="1985" w:hanging="284"/>
      </w:pPr>
      <w:rPr>
        <w:rFonts w:ascii="Verdana" w:hAnsi="Verdana" w:cs="Times New Roman" w:hint="default"/>
        <w:b w:val="0"/>
        <w:i w:val="0"/>
        <w:sz w:val="20"/>
        <w:szCs w:val="28"/>
      </w:rPr>
    </w:lvl>
    <w:lvl w:ilvl="3">
      <w:start w:val="1"/>
      <w:numFmt w:val="bullet"/>
      <w:lvlText w:val="-"/>
      <w:lvlJc w:val="left"/>
      <w:pPr>
        <w:tabs>
          <w:tab w:val="num" w:pos="2268"/>
        </w:tabs>
        <w:ind w:left="2268" w:hanging="567"/>
      </w:pPr>
      <w:rPr>
        <w:rFonts w:ascii="Verdana" w:hAnsi="Verdana" w:cs="Times New Roman" w:hint="default"/>
        <w:szCs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8" w15:restartNumberingAfterBreak="0">
    <w:nsid w:val="5D6C51D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5DF66E45"/>
    <w:multiLevelType w:val="hybridMultilevel"/>
    <w:tmpl w:val="6EB6C774"/>
    <w:lvl w:ilvl="0" w:tplc="F1EEB9FC">
      <w:start w:val="1"/>
      <w:numFmt w:val="upperLetter"/>
      <w:pStyle w:val="Heading2"/>
      <w:lvlText w:val="%1."/>
      <w:lvlJc w:val="right"/>
      <w:pPr>
        <w:tabs>
          <w:tab w:val="num" w:pos="567"/>
        </w:tabs>
        <w:ind w:left="567" w:hanging="278"/>
      </w:pPr>
      <w:rPr>
        <w:rFonts w:ascii="Verdana" w:hAnsi="Verdana" w:cs="Arial" w:hint="default"/>
        <w:b/>
        <w:i w:val="0"/>
        <w:w w:val="1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7046EB"/>
    <w:multiLevelType w:val="multilevel"/>
    <w:tmpl w:val="F52400E0"/>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01816"/>
    <w:multiLevelType w:val="hybridMultilevel"/>
    <w:tmpl w:val="B0A8A2A4"/>
    <w:lvl w:ilvl="0" w:tplc="5ED23250">
      <w:start w:val="1"/>
      <w:numFmt w:val="bullet"/>
      <w:pStyle w:val="bullets"/>
      <w:lvlText w:val=""/>
      <w:lvlJc w:val="left"/>
      <w:pPr>
        <w:tabs>
          <w:tab w:val="num" w:pos="1701"/>
        </w:tabs>
        <w:ind w:left="1701"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9"/>
  </w:num>
  <w:num w:numId="6">
    <w:abstractNumId w:val="8"/>
  </w:num>
  <w:num w:numId="7">
    <w:abstractNumId w:val="8"/>
  </w:num>
  <w:num w:numId="8">
    <w:abstractNumId w:val="8"/>
  </w:num>
  <w:num w:numId="9">
    <w:abstractNumId w:val="8"/>
  </w:num>
  <w:num w:numId="10">
    <w:abstractNumId w:val="8"/>
  </w:num>
  <w:num w:numId="11">
    <w:abstractNumId w:val="8"/>
  </w:num>
  <w:num w:numId="12">
    <w:abstractNumId w:val="10"/>
  </w:num>
  <w:num w:numId="13">
    <w:abstractNumId w:val="10"/>
  </w:num>
  <w:num w:numId="14">
    <w:abstractNumId w:val="10"/>
  </w:num>
  <w:num w:numId="15">
    <w:abstractNumId w:val="10"/>
  </w:num>
  <w:num w:numId="16">
    <w:abstractNumId w:val="7"/>
  </w:num>
  <w:num w:numId="17">
    <w:abstractNumId w:val="4"/>
  </w:num>
  <w:num w:numId="18">
    <w:abstractNumId w:val="11"/>
  </w:num>
  <w:num w:numId="19">
    <w:abstractNumId w:val="0"/>
  </w:num>
  <w:num w:numId="20">
    <w:abstractNumId w:val="9"/>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0"/>
  </w:num>
  <w:num w:numId="31">
    <w:abstractNumId w:val="7"/>
  </w:num>
  <w:num w:numId="32">
    <w:abstractNumId w:val="4"/>
  </w:num>
  <w:num w:numId="33">
    <w:abstractNumId w:val="5"/>
  </w:num>
  <w:num w:numId="34">
    <w:abstractNumId w:val="2"/>
  </w:num>
  <w:num w:numId="35">
    <w:abstractNumId w:val="1"/>
  </w:num>
  <w:num w:numId="3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8" w:dllVersion="513" w:checkStyle="1"/>
  <w:activeWritingStyle w:appName="MSWord" w:lang="it-IT" w:vendorID="3" w:dllVersion="517"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E"/>
    <w:rsid w:val="00004974"/>
    <w:rsid w:val="00006968"/>
    <w:rsid w:val="00020D60"/>
    <w:rsid w:val="0004099B"/>
    <w:rsid w:val="00053402"/>
    <w:rsid w:val="000758EE"/>
    <w:rsid w:val="00077377"/>
    <w:rsid w:val="000866F6"/>
    <w:rsid w:val="000908E3"/>
    <w:rsid w:val="00092527"/>
    <w:rsid w:val="00097D06"/>
    <w:rsid w:val="000A0104"/>
    <w:rsid w:val="000A081F"/>
    <w:rsid w:val="000A3578"/>
    <w:rsid w:val="000C39EA"/>
    <w:rsid w:val="000C6EF9"/>
    <w:rsid w:val="000D2E5A"/>
    <w:rsid w:val="000E4403"/>
    <w:rsid w:val="000E6437"/>
    <w:rsid w:val="00102059"/>
    <w:rsid w:val="00111CE5"/>
    <w:rsid w:val="00112C8F"/>
    <w:rsid w:val="0011336C"/>
    <w:rsid w:val="001172E0"/>
    <w:rsid w:val="001178B6"/>
    <w:rsid w:val="00120FF2"/>
    <w:rsid w:val="00123F14"/>
    <w:rsid w:val="0012699C"/>
    <w:rsid w:val="00131F2C"/>
    <w:rsid w:val="00136A63"/>
    <w:rsid w:val="00143E18"/>
    <w:rsid w:val="0014448F"/>
    <w:rsid w:val="00144D53"/>
    <w:rsid w:val="0014614D"/>
    <w:rsid w:val="00155C47"/>
    <w:rsid w:val="00165C4B"/>
    <w:rsid w:val="001702D0"/>
    <w:rsid w:val="00190853"/>
    <w:rsid w:val="00194C7B"/>
    <w:rsid w:val="001958DE"/>
    <w:rsid w:val="001974B1"/>
    <w:rsid w:val="001A2053"/>
    <w:rsid w:val="001C2A19"/>
    <w:rsid w:val="001C308C"/>
    <w:rsid w:val="001C5337"/>
    <w:rsid w:val="001C5A82"/>
    <w:rsid w:val="001D3591"/>
    <w:rsid w:val="001D6021"/>
    <w:rsid w:val="001E6B95"/>
    <w:rsid w:val="001F13D4"/>
    <w:rsid w:val="002022CF"/>
    <w:rsid w:val="00206067"/>
    <w:rsid w:val="00216450"/>
    <w:rsid w:val="0022048C"/>
    <w:rsid w:val="00221D8F"/>
    <w:rsid w:val="00224954"/>
    <w:rsid w:val="00235A0E"/>
    <w:rsid w:val="00242991"/>
    <w:rsid w:val="00250F81"/>
    <w:rsid w:val="002520EF"/>
    <w:rsid w:val="00255821"/>
    <w:rsid w:val="00267553"/>
    <w:rsid w:val="002703F8"/>
    <w:rsid w:val="00271DEE"/>
    <w:rsid w:val="0027222F"/>
    <w:rsid w:val="002840CF"/>
    <w:rsid w:val="002867F4"/>
    <w:rsid w:val="00286E76"/>
    <w:rsid w:val="00291765"/>
    <w:rsid w:val="00296F72"/>
    <w:rsid w:val="002A473A"/>
    <w:rsid w:val="002A7781"/>
    <w:rsid w:val="002C657A"/>
    <w:rsid w:val="002C6C74"/>
    <w:rsid w:val="002D0034"/>
    <w:rsid w:val="002E4300"/>
    <w:rsid w:val="002E4EB2"/>
    <w:rsid w:val="002F7B3F"/>
    <w:rsid w:val="00302A91"/>
    <w:rsid w:val="00307E81"/>
    <w:rsid w:val="003247DA"/>
    <w:rsid w:val="003279A2"/>
    <w:rsid w:val="00332BEA"/>
    <w:rsid w:val="003350A8"/>
    <w:rsid w:val="003352D1"/>
    <w:rsid w:val="00367664"/>
    <w:rsid w:val="00371C91"/>
    <w:rsid w:val="00377AF0"/>
    <w:rsid w:val="00385D21"/>
    <w:rsid w:val="00394083"/>
    <w:rsid w:val="003A0D8E"/>
    <w:rsid w:val="003A554A"/>
    <w:rsid w:val="003D2957"/>
    <w:rsid w:val="003D3AE1"/>
    <w:rsid w:val="003D59E7"/>
    <w:rsid w:val="003D73BE"/>
    <w:rsid w:val="003E41DE"/>
    <w:rsid w:val="003E7B6E"/>
    <w:rsid w:val="003F3D28"/>
    <w:rsid w:val="003F4345"/>
    <w:rsid w:val="004074EE"/>
    <w:rsid w:val="004114B5"/>
    <w:rsid w:val="004144E4"/>
    <w:rsid w:val="0042040D"/>
    <w:rsid w:val="00421E43"/>
    <w:rsid w:val="004224EB"/>
    <w:rsid w:val="00427A4C"/>
    <w:rsid w:val="0043216F"/>
    <w:rsid w:val="00437082"/>
    <w:rsid w:val="004459E9"/>
    <w:rsid w:val="0044706A"/>
    <w:rsid w:val="004478E1"/>
    <w:rsid w:val="004501B0"/>
    <w:rsid w:val="0045231A"/>
    <w:rsid w:val="00473EB8"/>
    <w:rsid w:val="00480FB0"/>
    <w:rsid w:val="004871A0"/>
    <w:rsid w:val="0049469F"/>
    <w:rsid w:val="004B2AC4"/>
    <w:rsid w:val="004C1A25"/>
    <w:rsid w:val="004C6131"/>
    <w:rsid w:val="004D0EEB"/>
    <w:rsid w:val="004E5BD1"/>
    <w:rsid w:val="004F0196"/>
    <w:rsid w:val="004F148A"/>
    <w:rsid w:val="004F1D47"/>
    <w:rsid w:val="004F65F4"/>
    <w:rsid w:val="004F6AF4"/>
    <w:rsid w:val="005021E6"/>
    <w:rsid w:val="00527018"/>
    <w:rsid w:val="00532CB6"/>
    <w:rsid w:val="00535CAB"/>
    <w:rsid w:val="0055027A"/>
    <w:rsid w:val="00561CDD"/>
    <w:rsid w:val="00562E6C"/>
    <w:rsid w:val="00575A1B"/>
    <w:rsid w:val="00585812"/>
    <w:rsid w:val="00591C36"/>
    <w:rsid w:val="005A36A4"/>
    <w:rsid w:val="005B551D"/>
    <w:rsid w:val="005B6F84"/>
    <w:rsid w:val="005C66D4"/>
    <w:rsid w:val="005E54E2"/>
    <w:rsid w:val="005F4AC0"/>
    <w:rsid w:val="005F519A"/>
    <w:rsid w:val="00603863"/>
    <w:rsid w:val="006045A6"/>
    <w:rsid w:val="00606B87"/>
    <w:rsid w:val="006131C3"/>
    <w:rsid w:val="0061544F"/>
    <w:rsid w:val="00621738"/>
    <w:rsid w:val="00630E9A"/>
    <w:rsid w:val="00663C82"/>
    <w:rsid w:val="00667B0B"/>
    <w:rsid w:val="00671D11"/>
    <w:rsid w:val="00681D22"/>
    <w:rsid w:val="00682F51"/>
    <w:rsid w:val="0068399F"/>
    <w:rsid w:val="0068793F"/>
    <w:rsid w:val="006905E1"/>
    <w:rsid w:val="006942D8"/>
    <w:rsid w:val="006A0E25"/>
    <w:rsid w:val="006A1A0B"/>
    <w:rsid w:val="006A45EF"/>
    <w:rsid w:val="006A69A7"/>
    <w:rsid w:val="006B1D6E"/>
    <w:rsid w:val="006B267E"/>
    <w:rsid w:val="006B66F3"/>
    <w:rsid w:val="006C7928"/>
    <w:rsid w:val="006D19A5"/>
    <w:rsid w:val="006D7BBA"/>
    <w:rsid w:val="006F2BFC"/>
    <w:rsid w:val="006F34A5"/>
    <w:rsid w:val="0070068A"/>
    <w:rsid w:val="00702333"/>
    <w:rsid w:val="00712A4B"/>
    <w:rsid w:val="00716022"/>
    <w:rsid w:val="007330C9"/>
    <w:rsid w:val="00742659"/>
    <w:rsid w:val="00762AC7"/>
    <w:rsid w:val="0076762A"/>
    <w:rsid w:val="007931ED"/>
    <w:rsid w:val="00797306"/>
    <w:rsid w:val="007A6CBB"/>
    <w:rsid w:val="007B7A10"/>
    <w:rsid w:val="007C7A04"/>
    <w:rsid w:val="007D0E73"/>
    <w:rsid w:val="007D5161"/>
    <w:rsid w:val="007D5EEE"/>
    <w:rsid w:val="007E1EA5"/>
    <w:rsid w:val="007E1FAD"/>
    <w:rsid w:val="007E35C8"/>
    <w:rsid w:val="007E6625"/>
    <w:rsid w:val="00801FAC"/>
    <w:rsid w:val="0081561E"/>
    <w:rsid w:val="00824D68"/>
    <w:rsid w:val="00826A1A"/>
    <w:rsid w:val="008340CC"/>
    <w:rsid w:val="00840D35"/>
    <w:rsid w:val="00842BB8"/>
    <w:rsid w:val="0084746F"/>
    <w:rsid w:val="008511CD"/>
    <w:rsid w:val="00854DDF"/>
    <w:rsid w:val="00866B42"/>
    <w:rsid w:val="00871EA9"/>
    <w:rsid w:val="008737D9"/>
    <w:rsid w:val="0087631F"/>
    <w:rsid w:val="00885B02"/>
    <w:rsid w:val="00886CF6"/>
    <w:rsid w:val="008971A8"/>
    <w:rsid w:val="008A3383"/>
    <w:rsid w:val="008A3F3E"/>
    <w:rsid w:val="008A426C"/>
    <w:rsid w:val="008A489E"/>
    <w:rsid w:val="008B4BB3"/>
    <w:rsid w:val="008B5CB1"/>
    <w:rsid w:val="008B6596"/>
    <w:rsid w:val="008C02EC"/>
    <w:rsid w:val="008D03AA"/>
    <w:rsid w:val="008D6DDB"/>
    <w:rsid w:val="008F3883"/>
    <w:rsid w:val="009114E7"/>
    <w:rsid w:val="0092792B"/>
    <w:rsid w:val="00934FA2"/>
    <w:rsid w:val="00937EED"/>
    <w:rsid w:val="009406C3"/>
    <w:rsid w:val="009461B3"/>
    <w:rsid w:val="0095183E"/>
    <w:rsid w:val="00955EBF"/>
    <w:rsid w:val="00960223"/>
    <w:rsid w:val="009666A0"/>
    <w:rsid w:val="009830C3"/>
    <w:rsid w:val="00990125"/>
    <w:rsid w:val="009A3D2A"/>
    <w:rsid w:val="009A40F2"/>
    <w:rsid w:val="009A4A9F"/>
    <w:rsid w:val="009A56AA"/>
    <w:rsid w:val="009B1C79"/>
    <w:rsid w:val="009C22FB"/>
    <w:rsid w:val="009C267F"/>
    <w:rsid w:val="009C3535"/>
    <w:rsid w:val="009D288E"/>
    <w:rsid w:val="009D76EF"/>
    <w:rsid w:val="009E0134"/>
    <w:rsid w:val="009E1D91"/>
    <w:rsid w:val="009E374F"/>
    <w:rsid w:val="009F22ED"/>
    <w:rsid w:val="009F69D4"/>
    <w:rsid w:val="00A06602"/>
    <w:rsid w:val="00A1452A"/>
    <w:rsid w:val="00A25B45"/>
    <w:rsid w:val="00A35881"/>
    <w:rsid w:val="00A47A56"/>
    <w:rsid w:val="00A57420"/>
    <w:rsid w:val="00A71373"/>
    <w:rsid w:val="00A72437"/>
    <w:rsid w:val="00A74700"/>
    <w:rsid w:val="00A75503"/>
    <w:rsid w:val="00A95A2E"/>
    <w:rsid w:val="00AC0934"/>
    <w:rsid w:val="00AD7427"/>
    <w:rsid w:val="00AD76EB"/>
    <w:rsid w:val="00AE6627"/>
    <w:rsid w:val="00AF3033"/>
    <w:rsid w:val="00AF63FD"/>
    <w:rsid w:val="00B05E42"/>
    <w:rsid w:val="00B10948"/>
    <w:rsid w:val="00B1202F"/>
    <w:rsid w:val="00B26E37"/>
    <w:rsid w:val="00B33503"/>
    <w:rsid w:val="00B34924"/>
    <w:rsid w:val="00B42700"/>
    <w:rsid w:val="00B47A83"/>
    <w:rsid w:val="00B5704E"/>
    <w:rsid w:val="00B62ACF"/>
    <w:rsid w:val="00B639BD"/>
    <w:rsid w:val="00B70FAB"/>
    <w:rsid w:val="00B9143D"/>
    <w:rsid w:val="00B95E01"/>
    <w:rsid w:val="00BA03B4"/>
    <w:rsid w:val="00BA0F1D"/>
    <w:rsid w:val="00BB406F"/>
    <w:rsid w:val="00BC238D"/>
    <w:rsid w:val="00BC5672"/>
    <w:rsid w:val="00BD75EC"/>
    <w:rsid w:val="00BF1B88"/>
    <w:rsid w:val="00BF7DD7"/>
    <w:rsid w:val="00C07424"/>
    <w:rsid w:val="00C1579C"/>
    <w:rsid w:val="00C15CB0"/>
    <w:rsid w:val="00C17D36"/>
    <w:rsid w:val="00C20F89"/>
    <w:rsid w:val="00C215C5"/>
    <w:rsid w:val="00C2650C"/>
    <w:rsid w:val="00C33542"/>
    <w:rsid w:val="00C37E8E"/>
    <w:rsid w:val="00C41F0D"/>
    <w:rsid w:val="00C46D44"/>
    <w:rsid w:val="00C601E2"/>
    <w:rsid w:val="00C860CA"/>
    <w:rsid w:val="00C86AEF"/>
    <w:rsid w:val="00C87604"/>
    <w:rsid w:val="00C92DE6"/>
    <w:rsid w:val="00CB717B"/>
    <w:rsid w:val="00CD2779"/>
    <w:rsid w:val="00CF2CAB"/>
    <w:rsid w:val="00D04148"/>
    <w:rsid w:val="00D11717"/>
    <w:rsid w:val="00D11D92"/>
    <w:rsid w:val="00D165D4"/>
    <w:rsid w:val="00D1674C"/>
    <w:rsid w:val="00D24E7D"/>
    <w:rsid w:val="00D260B4"/>
    <w:rsid w:val="00D56AF5"/>
    <w:rsid w:val="00D57B20"/>
    <w:rsid w:val="00D64A44"/>
    <w:rsid w:val="00D6537F"/>
    <w:rsid w:val="00D655C9"/>
    <w:rsid w:val="00D757E4"/>
    <w:rsid w:val="00D856E2"/>
    <w:rsid w:val="00D913A0"/>
    <w:rsid w:val="00DA68C7"/>
    <w:rsid w:val="00DA74A8"/>
    <w:rsid w:val="00DB535F"/>
    <w:rsid w:val="00DB6CB3"/>
    <w:rsid w:val="00DC3DD1"/>
    <w:rsid w:val="00DE005B"/>
    <w:rsid w:val="00DE64C0"/>
    <w:rsid w:val="00DF2246"/>
    <w:rsid w:val="00DF7D53"/>
    <w:rsid w:val="00E00893"/>
    <w:rsid w:val="00E021CC"/>
    <w:rsid w:val="00E166AC"/>
    <w:rsid w:val="00E17FE9"/>
    <w:rsid w:val="00E318DF"/>
    <w:rsid w:val="00E5161A"/>
    <w:rsid w:val="00E56A72"/>
    <w:rsid w:val="00E92630"/>
    <w:rsid w:val="00E94F0F"/>
    <w:rsid w:val="00E9667B"/>
    <w:rsid w:val="00EA2FF9"/>
    <w:rsid w:val="00EA4C37"/>
    <w:rsid w:val="00EB0740"/>
    <w:rsid w:val="00EB3E17"/>
    <w:rsid w:val="00EB43B4"/>
    <w:rsid w:val="00EB5F96"/>
    <w:rsid w:val="00EE27FD"/>
    <w:rsid w:val="00EE2D2D"/>
    <w:rsid w:val="00EE5D87"/>
    <w:rsid w:val="00EE6AB1"/>
    <w:rsid w:val="00EF1D8A"/>
    <w:rsid w:val="00F0061D"/>
    <w:rsid w:val="00F058FC"/>
    <w:rsid w:val="00F20A43"/>
    <w:rsid w:val="00F20E0E"/>
    <w:rsid w:val="00F30DC5"/>
    <w:rsid w:val="00F44831"/>
    <w:rsid w:val="00F45B9D"/>
    <w:rsid w:val="00F54F62"/>
    <w:rsid w:val="00F562B6"/>
    <w:rsid w:val="00F57D64"/>
    <w:rsid w:val="00F71DE5"/>
    <w:rsid w:val="00F749C7"/>
    <w:rsid w:val="00F752FB"/>
    <w:rsid w:val="00F83EF7"/>
    <w:rsid w:val="00F86E13"/>
    <w:rsid w:val="00F9054B"/>
    <w:rsid w:val="00F92D53"/>
    <w:rsid w:val="00F94B5D"/>
    <w:rsid w:val="00FB26A3"/>
    <w:rsid w:val="00FB6CEA"/>
    <w:rsid w:val="00FD047A"/>
    <w:rsid w:val="00FE64DF"/>
    <w:rsid w:val="00FF0D2C"/>
    <w:rsid w:val="00FF44B9"/>
    <w:rsid w:val="00FF4FE2"/>
    <w:rsid w:val="00FF59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A06AE"/>
  <w15:docId w15:val="{EF53258C-4DF5-467D-BEDC-6C75DB58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6"/>
    <w:rPr>
      <w:rFonts w:ascii="Verdana" w:hAnsi="Verdana" w:cs="Arial"/>
      <w:lang w:val="en-CA" w:eastAsia="en-US"/>
    </w:rPr>
  </w:style>
  <w:style w:type="paragraph" w:styleId="Heading1">
    <w:name w:val="heading 1"/>
    <w:next w:val="BodyText"/>
    <w:qFormat/>
    <w:rsid w:val="00C07424"/>
    <w:pPr>
      <w:numPr>
        <w:numId w:val="19"/>
      </w:numPr>
      <w:spacing w:after="240"/>
      <w:outlineLvl w:val="0"/>
    </w:pPr>
    <w:rPr>
      <w:rFonts w:ascii="Verdana" w:hAnsi="Verdana" w:cs="Arial"/>
      <w:b/>
      <w:bCs/>
      <w:sz w:val="28"/>
      <w:szCs w:val="28"/>
      <w:lang w:val="en-CA" w:eastAsia="en-US"/>
    </w:rPr>
  </w:style>
  <w:style w:type="paragraph" w:styleId="Heading2">
    <w:name w:val="heading 2"/>
    <w:next w:val="BodyText"/>
    <w:qFormat/>
    <w:rsid w:val="00C07424"/>
    <w:pPr>
      <w:keepNext/>
      <w:numPr>
        <w:numId w:val="20"/>
      </w:numPr>
      <w:spacing w:after="120"/>
      <w:outlineLvl w:val="1"/>
    </w:pPr>
    <w:rPr>
      <w:rFonts w:ascii="Verdana" w:hAnsi="Verdana" w:cs="Arial"/>
      <w:b/>
      <w:sz w:val="24"/>
      <w:lang w:val="en-CA" w:eastAsia="en-US"/>
    </w:rPr>
  </w:style>
  <w:style w:type="paragraph" w:styleId="Heading3">
    <w:name w:val="heading 3"/>
    <w:next w:val="BodyText"/>
    <w:qFormat/>
    <w:rsid w:val="00C07424"/>
    <w:pPr>
      <w:spacing w:after="60"/>
      <w:outlineLvl w:val="2"/>
    </w:pPr>
    <w:rPr>
      <w:rFonts w:ascii="Verdana" w:hAnsi="Verdana" w:cs="Arial"/>
      <w:b/>
      <w:lang w:val="en-CA" w:eastAsia="en-US"/>
    </w:rPr>
  </w:style>
  <w:style w:type="paragraph" w:styleId="Heading4">
    <w:name w:val="heading 4"/>
    <w:basedOn w:val="Normal"/>
    <w:next w:val="Normal"/>
    <w:qFormat/>
    <w:rsid w:val="00C07424"/>
    <w:pPr>
      <w:keepNext/>
      <w:numPr>
        <w:ilvl w:val="3"/>
        <w:numId w:val="26"/>
      </w:numPr>
      <w:spacing w:before="120" w:after="120"/>
      <w:outlineLvl w:val="3"/>
    </w:pPr>
    <w:rPr>
      <w:b/>
      <w:i/>
    </w:rPr>
  </w:style>
  <w:style w:type="paragraph" w:styleId="Heading5">
    <w:name w:val="heading 5"/>
    <w:basedOn w:val="Normal"/>
    <w:next w:val="Normal"/>
    <w:qFormat/>
    <w:rsid w:val="00C07424"/>
    <w:pPr>
      <w:numPr>
        <w:ilvl w:val="4"/>
        <w:numId w:val="26"/>
      </w:numPr>
      <w:spacing w:before="240" w:after="60"/>
      <w:outlineLvl w:val="4"/>
    </w:pPr>
  </w:style>
  <w:style w:type="paragraph" w:styleId="Heading6">
    <w:name w:val="heading 6"/>
    <w:basedOn w:val="Normal"/>
    <w:next w:val="Normal"/>
    <w:qFormat/>
    <w:rsid w:val="00C07424"/>
    <w:pPr>
      <w:numPr>
        <w:ilvl w:val="5"/>
        <w:numId w:val="26"/>
      </w:numPr>
      <w:spacing w:before="240" w:after="60"/>
      <w:outlineLvl w:val="5"/>
    </w:pPr>
    <w:rPr>
      <w:i/>
    </w:rPr>
  </w:style>
  <w:style w:type="paragraph" w:styleId="Heading7">
    <w:name w:val="heading 7"/>
    <w:basedOn w:val="Normal"/>
    <w:next w:val="Normal"/>
    <w:qFormat/>
    <w:rsid w:val="00C07424"/>
    <w:pPr>
      <w:numPr>
        <w:ilvl w:val="6"/>
        <w:numId w:val="26"/>
      </w:numPr>
      <w:spacing w:before="240" w:after="60"/>
      <w:outlineLvl w:val="6"/>
    </w:pPr>
  </w:style>
  <w:style w:type="paragraph" w:styleId="Heading8">
    <w:name w:val="heading 8"/>
    <w:basedOn w:val="Normal"/>
    <w:next w:val="Normal"/>
    <w:qFormat/>
    <w:rsid w:val="00C07424"/>
    <w:pPr>
      <w:numPr>
        <w:ilvl w:val="7"/>
        <w:numId w:val="26"/>
      </w:numPr>
      <w:spacing w:before="240" w:after="60"/>
      <w:outlineLvl w:val="7"/>
    </w:pPr>
    <w:rPr>
      <w:i/>
    </w:rPr>
  </w:style>
  <w:style w:type="paragraph" w:styleId="Heading9">
    <w:name w:val="heading 9"/>
    <w:basedOn w:val="Normal"/>
    <w:next w:val="Normal"/>
    <w:qFormat/>
    <w:rsid w:val="00C07424"/>
    <w:pPr>
      <w:numPr>
        <w:ilvl w:val="8"/>
        <w:numId w:val="26"/>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07424"/>
    <w:pPr>
      <w:spacing w:after="120"/>
    </w:pPr>
    <w:rPr>
      <w:rFonts w:ascii="Verdana" w:hAnsi="Verdana" w:cs="Arial"/>
      <w:lang w:val="en-CA" w:eastAsia="en-US"/>
    </w:rPr>
  </w:style>
  <w:style w:type="paragraph" w:styleId="Header">
    <w:name w:val="header"/>
    <w:basedOn w:val="Normal"/>
    <w:rsid w:val="00C07424"/>
    <w:pPr>
      <w:tabs>
        <w:tab w:val="center" w:pos="4320"/>
        <w:tab w:val="right" w:pos="8640"/>
      </w:tabs>
    </w:pPr>
    <w:rPr>
      <w:rFonts w:eastAsia="Times"/>
    </w:rPr>
  </w:style>
  <w:style w:type="paragraph" w:styleId="PlainText">
    <w:name w:val="Plain Text"/>
    <w:basedOn w:val="Normal"/>
    <w:semiHidden/>
    <w:rsid w:val="00C07424"/>
  </w:style>
  <w:style w:type="paragraph" w:styleId="Title">
    <w:name w:val="Title"/>
    <w:basedOn w:val="Normal"/>
    <w:next w:val="BodyText"/>
    <w:qFormat/>
    <w:rsid w:val="00C07424"/>
    <w:pPr>
      <w:spacing w:after="500"/>
      <w:outlineLvl w:val="0"/>
    </w:pPr>
    <w:rPr>
      <w:b/>
      <w:sz w:val="28"/>
    </w:rPr>
  </w:style>
  <w:style w:type="paragraph" w:styleId="TOAHeading">
    <w:name w:val="toa heading"/>
    <w:basedOn w:val="Normal"/>
    <w:next w:val="Normal"/>
    <w:semiHidden/>
    <w:rsid w:val="00C07424"/>
    <w:pPr>
      <w:spacing w:before="120"/>
    </w:pPr>
    <w:rPr>
      <w:b/>
      <w:sz w:val="24"/>
    </w:rPr>
  </w:style>
  <w:style w:type="paragraph" w:styleId="Footer">
    <w:name w:val="footer"/>
    <w:basedOn w:val="Normal"/>
    <w:link w:val="FooterChar"/>
    <w:uiPriority w:val="99"/>
    <w:rsid w:val="00C07424"/>
    <w:pPr>
      <w:tabs>
        <w:tab w:val="center" w:pos="4320"/>
        <w:tab w:val="right" w:pos="8640"/>
      </w:tabs>
    </w:pPr>
    <w:rPr>
      <w:rFonts w:eastAsia="Times"/>
    </w:rPr>
  </w:style>
  <w:style w:type="character" w:styleId="PageNumber">
    <w:name w:val="page number"/>
    <w:basedOn w:val="DefaultParagraphFont"/>
    <w:rsid w:val="00C07424"/>
    <w:rPr>
      <w:rFonts w:ascii="Verdana" w:hAnsi="Verdana"/>
      <w:color w:val="auto"/>
      <w:spacing w:val="0"/>
      <w:position w:val="0"/>
      <w:sz w:val="16"/>
    </w:rPr>
  </w:style>
  <w:style w:type="paragraph" w:customStyle="1" w:styleId="Annex">
    <w:name w:val="Annex"/>
    <w:basedOn w:val="Normal"/>
    <w:next w:val="Normal"/>
    <w:rsid w:val="00C07424"/>
    <w:pPr>
      <w:keepNext/>
      <w:spacing w:after="400"/>
    </w:pPr>
    <w:rPr>
      <w:b/>
      <w:kern w:val="28"/>
      <w:sz w:val="28"/>
      <w:szCs w:val="24"/>
    </w:rPr>
  </w:style>
  <w:style w:type="paragraph" w:customStyle="1" w:styleId="Appendix">
    <w:name w:val="Appendix"/>
    <w:next w:val="Normal"/>
    <w:rsid w:val="00C07424"/>
    <w:pPr>
      <w:spacing w:after="400"/>
    </w:pPr>
    <w:rPr>
      <w:rFonts w:ascii="Verdana" w:hAnsi="Verdana" w:cs="Arial"/>
      <w:b/>
      <w:bCs/>
      <w:sz w:val="28"/>
      <w:szCs w:val="28"/>
      <w:lang w:val="en-CA" w:eastAsia="en-US"/>
    </w:rPr>
  </w:style>
  <w:style w:type="paragraph" w:styleId="Caption">
    <w:name w:val="caption"/>
    <w:basedOn w:val="Normal"/>
    <w:next w:val="Normal"/>
    <w:qFormat/>
    <w:rsid w:val="00C07424"/>
    <w:pPr>
      <w:spacing w:before="120" w:after="120"/>
    </w:pPr>
    <w:rPr>
      <w:b/>
    </w:rPr>
  </w:style>
  <w:style w:type="character" w:styleId="EndnoteReference">
    <w:name w:val="endnote reference"/>
    <w:basedOn w:val="DefaultParagraphFont"/>
    <w:semiHidden/>
    <w:rsid w:val="00C07424"/>
    <w:rPr>
      <w:vertAlign w:val="superscript"/>
    </w:rPr>
  </w:style>
  <w:style w:type="character" w:styleId="FootnoteReference">
    <w:name w:val="footnote reference"/>
    <w:basedOn w:val="DefaultParagraphFont"/>
    <w:semiHidden/>
    <w:rsid w:val="00C07424"/>
    <w:rPr>
      <w:vertAlign w:val="superscript"/>
    </w:rPr>
  </w:style>
  <w:style w:type="paragraph" w:styleId="FootnoteText">
    <w:name w:val="footnote text"/>
    <w:basedOn w:val="Normal"/>
    <w:semiHidden/>
    <w:rsid w:val="00C07424"/>
    <w:pPr>
      <w:spacing w:after="10"/>
      <w:ind w:left="284" w:hanging="284"/>
    </w:pPr>
    <w:rPr>
      <w:rFonts w:eastAsia="MS Mincho"/>
      <w:color w:val="000000"/>
      <w:sz w:val="14"/>
    </w:rPr>
  </w:style>
  <w:style w:type="paragraph" w:customStyle="1" w:styleId="Heading1noTOC">
    <w:name w:val="Heading1_noTOC"/>
    <w:next w:val="BodyText"/>
    <w:rsid w:val="00C07424"/>
    <w:pPr>
      <w:keepNext/>
      <w:spacing w:after="240"/>
      <w:ind w:left="567" w:hanging="278"/>
    </w:pPr>
    <w:rPr>
      <w:rFonts w:ascii="Verdana" w:eastAsia="Times" w:hAnsi="Verdana" w:cs="Arial"/>
      <w:b/>
      <w:sz w:val="28"/>
      <w:lang w:val="en-CA" w:eastAsia="en-US"/>
    </w:rPr>
  </w:style>
  <w:style w:type="paragraph" w:customStyle="1" w:styleId="Heading2noTOC">
    <w:name w:val="Heading2_noTOC"/>
    <w:next w:val="BodyText"/>
    <w:rsid w:val="00C07424"/>
    <w:rPr>
      <w:rFonts w:ascii="Verdana" w:hAnsi="Verdana" w:cs="Arial"/>
      <w:b/>
      <w:sz w:val="24"/>
      <w:lang w:val="en-CA" w:eastAsia="en-US"/>
    </w:rPr>
  </w:style>
  <w:style w:type="paragraph" w:customStyle="1" w:styleId="Heading3noTOC">
    <w:name w:val="Heading3_noTOC"/>
    <w:basedOn w:val="Heading3"/>
    <w:next w:val="Normal"/>
    <w:rsid w:val="00C07424"/>
    <w:pPr>
      <w:outlineLvl w:val="9"/>
    </w:pPr>
  </w:style>
  <w:style w:type="paragraph" w:styleId="TableofFigures">
    <w:name w:val="table of figures"/>
    <w:aliases w:val="Table of Appendices"/>
    <w:basedOn w:val="Normal"/>
    <w:next w:val="Normal"/>
    <w:semiHidden/>
    <w:rsid w:val="00C07424"/>
    <w:pPr>
      <w:numPr>
        <w:numId w:val="32"/>
      </w:numPr>
      <w:tabs>
        <w:tab w:val="right" w:pos="9027"/>
      </w:tabs>
      <w:spacing w:before="120" w:after="120"/>
    </w:pPr>
    <w:rPr>
      <w:b/>
      <w:smallCaps/>
      <w:szCs w:val="22"/>
    </w:rPr>
  </w:style>
  <w:style w:type="paragraph" w:styleId="TOC1">
    <w:name w:val="toc 1"/>
    <w:basedOn w:val="Normal"/>
    <w:next w:val="Normal"/>
    <w:semiHidden/>
    <w:rsid w:val="00C07424"/>
    <w:pPr>
      <w:tabs>
        <w:tab w:val="left" w:pos="567"/>
        <w:tab w:val="left" w:pos="851"/>
        <w:tab w:val="right" w:leader="dot" w:pos="9027"/>
      </w:tabs>
      <w:spacing w:after="120"/>
    </w:pPr>
    <w:rPr>
      <w:b/>
      <w:sz w:val="22"/>
    </w:rPr>
  </w:style>
  <w:style w:type="paragraph" w:styleId="TOC2">
    <w:name w:val="toc 2"/>
    <w:basedOn w:val="Normal"/>
    <w:next w:val="Normal"/>
    <w:semiHidden/>
    <w:rsid w:val="00C07424"/>
    <w:pPr>
      <w:tabs>
        <w:tab w:val="left" w:leader="dot" w:pos="851"/>
        <w:tab w:val="right" w:leader="dot" w:pos="9027"/>
      </w:tabs>
      <w:ind w:left="851" w:right="1134" w:hanging="284"/>
    </w:pPr>
  </w:style>
  <w:style w:type="paragraph" w:styleId="TOC3">
    <w:name w:val="toc 3"/>
    <w:basedOn w:val="Normal"/>
    <w:next w:val="Normal"/>
    <w:semiHidden/>
    <w:rsid w:val="00C07424"/>
    <w:pPr>
      <w:tabs>
        <w:tab w:val="right" w:leader="dot" w:pos="9027"/>
      </w:tabs>
      <w:ind w:left="440"/>
    </w:pPr>
  </w:style>
  <w:style w:type="paragraph" w:styleId="TOC4">
    <w:name w:val="toc 4"/>
    <w:basedOn w:val="Normal"/>
    <w:next w:val="Normal"/>
    <w:semiHidden/>
    <w:rsid w:val="00C07424"/>
    <w:pPr>
      <w:tabs>
        <w:tab w:val="right" w:leader="dot" w:pos="9027"/>
      </w:tabs>
      <w:ind w:left="660"/>
    </w:pPr>
  </w:style>
  <w:style w:type="paragraph" w:styleId="TOC5">
    <w:name w:val="toc 5"/>
    <w:basedOn w:val="Normal"/>
    <w:next w:val="Normal"/>
    <w:semiHidden/>
    <w:rsid w:val="00C07424"/>
    <w:pPr>
      <w:tabs>
        <w:tab w:val="right" w:leader="dot" w:pos="9027"/>
      </w:tabs>
      <w:ind w:left="880"/>
    </w:pPr>
  </w:style>
  <w:style w:type="paragraph" w:styleId="TOC6">
    <w:name w:val="toc 6"/>
    <w:basedOn w:val="Normal"/>
    <w:next w:val="Normal"/>
    <w:semiHidden/>
    <w:rsid w:val="00C07424"/>
    <w:pPr>
      <w:tabs>
        <w:tab w:val="right" w:leader="dot" w:pos="9027"/>
      </w:tabs>
      <w:ind w:left="1100"/>
    </w:pPr>
  </w:style>
  <w:style w:type="paragraph" w:styleId="TOC7">
    <w:name w:val="toc 7"/>
    <w:basedOn w:val="Normal"/>
    <w:next w:val="Normal"/>
    <w:semiHidden/>
    <w:rsid w:val="00C07424"/>
    <w:pPr>
      <w:tabs>
        <w:tab w:val="right" w:leader="dot" w:pos="9027"/>
      </w:tabs>
      <w:ind w:left="1320"/>
    </w:pPr>
  </w:style>
  <w:style w:type="paragraph" w:styleId="TOC8">
    <w:name w:val="toc 8"/>
    <w:basedOn w:val="Normal"/>
    <w:next w:val="Normal"/>
    <w:semiHidden/>
    <w:rsid w:val="00C07424"/>
    <w:pPr>
      <w:tabs>
        <w:tab w:val="right" w:leader="dot" w:pos="9027"/>
      </w:tabs>
      <w:ind w:left="1540"/>
    </w:pPr>
  </w:style>
  <w:style w:type="paragraph" w:styleId="TOC9">
    <w:name w:val="toc 9"/>
    <w:basedOn w:val="Normal"/>
    <w:next w:val="Normal"/>
    <w:semiHidden/>
    <w:rsid w:val="00C07424"/>
    <w:pPr>
      <w:tabs>
        <w:tab w:val="right" w:leader="dot" w:pos="9027"/>
      </w:tabs>
      <w:ind w:left="1760"/>
    </w:pPr>
  </w:style>
  <w:style w:type="paragraph" w:styleId="BalloonText">
    <w:name w:val="Balloon Text"/>
    <w:basedOn w:val="Normal"/>
    <w:semiHidden/>
    <w:rsid w:val="00C07424"/>
    <w:rPr>
      <w:rFonts w:ascii="Tahoma" w:hAnsi="Tahoma" w:cs="Tahoma"/>
      <w:sz w:val="16"/>
      <w:szCs w:val="16"/>
    </w:rPr>
  </w:style>
  <w:style w:type="paragraph" w:customStyle="1" w:styleId="IntroductoryPages">
    <w:name w:val="Introductory Pages"/>
    <w:basedOn w:val="Normal"/>
    <w:rsid w:val="00C07424"/>
    <w:pPr>
      <w:spacing w:line="20" w:lineRule="exact"/>
    </w:pPr>
  </w:style>
  <w:style w:type="paragraph" w:customStyle="1" w:styleId="CoverPage">
    <w:name w:val="Cover Page"/>
    <w:basedOn w:val="Normal"/>
    <w:rsid w:val="00C07424"/>
  </w:style>
  <w:style w:type="paragraph" w:customStyle="1" w:styleId="TableofContents">
    <w:name w:val="Table of Contents"/>
    <w:basedOn w:val="Normal"/>
    <w:semiHidden/>
    <w:rsid w:val="00C07424"/>
    <w:rPr>
      <w:sz w:val="22"/>
    </w:rPr>
  </w:style>
  <w:style w:type="paragraph" w:customStyle="1" w:styleId="PartI">
    <w:name w:val="Part I"/>
    <w:basedOn w:val="Normal"/>
    <w:semiHidden/>
    <w:rsid w:val="00C07424"/>
    <w:pPr>
      <w:spacing w:line="20" w:lineRule="exact"/>
    </w:pPr>
  </w:style>
  <w:style w:type="paragraph" w:customStyle="1" w:styleId="PartII">
    <w:name w:val="Part II"/>
    <w:basedOn w:val="Normal"/>
    <w:semiHidden/>
    <w:rsid w:val="00C07424"/>
    <w:pPr>
      <w:spacing w:line="20" w:lineRule="exact"/>
    </w:pPr>
  </w:style>
  <w:style w:type="paragraph" w:customStyle="1" w:styleId="PartIII">
    <w:name w:val="Part III"/>
    <w:basedOn w:val="Normal"/>
    <w:semiHidden/>
    <w:rsid w:val="00C07424"/>
    <w:pPr>
      <w:spacing w:line="20" w:lineRule="exact"/>
    </w:pPr>
  </w:style>
  <w:style w:type="paragraph" w:customStyle="1" w:styleId="PartIV">
    <w:name w:val="Part IV"/>
    <w:basedOn w:val="Normal"/>
    <w:semiHidden/>
    <w:rsid w:val="00C07424"/>
    <w:pPr>
      <w:spacing w:line="20" w:lineRule="exact"/>
    </w:pPr>
  </w:style>
  <w:style w:type="paragraph" w:customStyle="1" w:styleId="Tables">
    <w:name w:val="Tables"/>
    <w:basedOn w:val="Normal"/>
    <w:semiHidden/>
    <w:rsid w:val="00C07424"/>
  </w:style>
  <w:style w:type="table" w:styleId="TableProfessional">
    <w:name w:val="Table Professional"/>
    <w:basedOn w:val="TableNormal"/>
    <w:semiHidden/>
    <w:rsid w:val="00C074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C07424"/>
    <w:rPr>
      <w:color w:val="0000FF"/>
      <w:u w:val="single"/>
    </w:rPr>
  </w:style>
  <w:style w:type="paragraph" w:customStyle="1" w:styleId="IFADparagraphnumbering">
    <w:name w:val="IFAD paragraph numbering"/>
    <w:basedOn w:val="BodyText"/>
    <w:rsid w:val="00C07424"/>
    <w:pPr>
      <w:numPr>
        <w:numId w:val="30"/>
      </w:numPr>
      <w:spacing w:after="240"/>
    </w:pPr>
  </w:style>
  <w:style w:type="paragraph" w:customStyle="1" w:styleId="IFADparagraphno2ndlevel">
    <w:name w:val="IFAD paragraph no. 2nd level"/>
    <w:basedOn w:val="IFADparagraphnumbering"/>
    <w:rsid w:val="00C07424"/>
    <w:pPr>
      <w:numPr>
        <w:ilvl w:val="1"/>
      </w:numPr>
    </w:pPr>
  </w:style>
  <w:style w:type="paragraph" w:customStyle="1" w:styleId="IFADparagraphno3rdlevel">
    <w:name w:val="IFAD paragraph no. 3rd level"/>
    <w:basedOn w:val="IFADparagraphnumbering"/>
    <w:rsid w:val="00C07424"/>
    <w:pPr>
      <w:numPr>
        <w:ilvl w:val="2"/>
      </w:numPr>
    </w:pPr>
  </w:style>
  <w:style w:type="paragraph" w:customStyle="1" w:styleId="IFADparagraphno4thlevel">
    <w:name w:val="IFAD paragraph no. 4th level"/>
    <w:basedOn w:val="IFADparagraphnumbering"/>
    <w:rsid w:val="00C07424"/>
    <w:pPr>
      <w:numPr>
        <w:ilvl w:val="3"/>
      </w:numPr>
    </w:pPr>
  </w:style>
  <w:style w:type="paragraph" w:customStyle="1" w:styleId="LoanTerms">
    <w:name w:val="Loan Terms"/>
    <w:basedOn w:val="Normal"/>
    <w:rsid w:val="00C07424"/>
  </w:style>
  <w:style w:type="paragraph" w:customStyle="1" w:styleId="addendum">
    <w:name w:val="addendum"/>
    <w:basedOn w:val="Normal"/>
    <w:rsid w:val="00E5161A"/>
    <w:rPr>
      <w:sz w:val="2"/>
    </w:rPr>
  </w:style>
  <w:style w:type="paragraph" w:customStyle="1" w:styleId="bullets">
    <w:name w:val="bullets"/>
    <w:next w:val="BodyText"/>
    <w:rsid w:val="00C07424"/>
    <w:pPr>
      <w:numPr>
        <w:numId w:val="18"/>
      </w:numPr>
      <w:spacing w:after="120"/>
    </w:pPr>
    <w:rPr>
      <w:rFonts w:ascii="Verdana" w:hAnsi="Verdana" w:cs="Arial"/>
      <w:lang w:val="en-CA" w:eastAsia="en-US"/>
    </w:rPr>
  </w:style>
  <w:style w:type="paragraph" w:customStyle="1" w:styleId="Heading1noNum">
    <w:name w:val="Heading 1_noNum"/>
    <w:basedOn w:val="Title"/>
    <w:next w:val="BodyText"/>
    <w:rsid w:val="00377AF0"/>
    <w:pPr>
      <w:spacing w:after="240"/>
    </w:pPr>
  </w:style>
  <w:style w:type="paragraph" w:customStyle="1" w:styleId="Covertitle">
    <w:name w:val="Cover title"/>
    <w:rsid w:val="005E54E2"/>
    <w:pPr>
      <w:spacing w:after="160" w:line="276" w:lineRule="auto"/>
      <w:ind w:left="567"/>
    </w:pPr>
    <w:rPr>
      <w:rFonts w:ascii="Verdana" w:eastAsia="MS Mincho" w:hAnsi="Verdana"/>
      <w:b/>
      <w:sz w:val="28"/>
      <w:lang w:val="en-CA" w:eastAsia="en-US"/>
    </w:rPr>
  </w:style>
  <w:style w:type="paragraph" w:styleId="DocumentMap">
    <w:name w:val="Document Map"/>
    <w:basedOn w:val="Normal"/>
    <w:semiHidden/>
    <w:rsid w:val="00C07424"/>
    <w:pPr>
      <w:shd w:val="clear" w:color="auto" w:fill="C6D5EC"/>
    </w:pPr>
    <w:rPr>
      <w:rFonts w:ascii="Lucida Grande" w:hAnsi="Lucida Grande"/>
      <w:sz w:val="24"/>
      <w:szCs w:val="24"/>
    </w:rPr>
  </w:style>
  <w:style w:type="paragraph" w:customStyle="1" w:styleId="DocumentTitle">
    <w:name w:val="Document Title"/>
    <w:basedOn w:val="Normal"/>
    <w:next w:val="Normal"/>
    <w:rsid w:val="00C07424"/>
    <w:pPr>
      <w:ind w:left="2359"/>
    </w:pPr>
    <w:rPr>
      <w:b/>
      <w:bCs/>
      <w:sz w:val="28"/>
      <w:szCs w:val="32"/>
      <w:lang w:eastAsia="en-GB"/>
    </w:rPr>
  </w:style>
  <w:style w:type="paragraph" w:customStyle="1" w:styleId="Heading">
    <w:name w:val="Heading"/>
    <w:basedOn w:val="Normal"/>
    <w:rsid w:val="00C07424"/>
    <w:pPr>
      <w:spacing w:after="400"/>
    </w:pPr>
    <w:rPr>
      <w:b/>
      <w:bCs/>
      <w:sz w:val="28"/>
      <w:szCs w:val="32"/>
    </w:rPr>
  </w:style>
  <w:style w:type="paragraph" w:customStyle="1" w:styleId="IFADIntroductorypages">
    <w:name w:val="IFAD Introductory pages"/>
    <w:basedOn w:val="Normal"/>
    <w:rsid w:val="00C07424"/>
    <w:pPr>
      <w:tabs>
        <w:tab w:val="left" w:pos="630"/>
      </w:tabs>
      <w:spacing w:after="160"/>
      <w:ind w:left="3402" w:right="1418"/>
    </w:pPr>
    <w:rPr>
      <w:rFonts w:ascii="Arial" w:eastAsia="MS Mincho" w:hAnsi="Arial"/>
      <w:spacing w:val="-6"/>
      <w:kern w:val="2"/>
      <w:sz w:val="18"/>
    </w:rPr>
  </w:style>
  <w:style w:type="paragraph" w:customStyle="1" w:styleId="IFADLogo">
    <w:name w:val="IFAD Logo"/>
    <w:basedOn w:val="Normal"/>
    <w:rsid w:val="00C07424"/>
    <w:pPr>
      <w:ind w:left="3686"/>
    </w:pPr>
    <w:rPr>
      <w:rFonts w:ascii="Arial" w:hAnsi="Arial"/>
      <w:sz w:val="24"/>
      <w:szCs w:val="24"/>
      <w:lang w:eastAsia="en-GB"/>
    </w:rPr>
  </w:style>
  <w:style w:type="paragraph" w:customStyle="1" w:styleId="ifadindent">
    <w:name w:val="ifadindent"/>
    <w:rsid w:val="00C07424"/>
    <w:pPr>
      <w:numPr>
        <w:numId w:val="31"/>
      </w:numPr>
      <w:spacing w:after="120"/>
    </w:pPr>
    <w:rPr>
      <w:rFonts w:ascii="Verdana" w:eastAsia="MS Mincho" w:hAnsi="Verdana" w:cs="Arial"/>
      <w:kern w:val="2"/>
      <w:lang w:val="en-CA" w:eastAsia="en-US"/>
    </w:rPr>
  </w:style>
  <w:style w:type="paragraph" w:customStyle="1" w:styleId="Introheaders">
    <w:name w:val="Intro headers"/>
    <w:next w:val="BodyText"/>
    <w:rsid w:val="00C07424"/>
    <w:pPr>
      <w:keepNext/>
      <w:spacing w:before="1600" w:after="240"/>
      <w:outlineLvl w:val="0"/>
    </w:pPr>
    <w:rPr>
      <w:rFonts w:ascii="Verdana" w:hAnsi="Verdana" w:cs="Arial"/>
      <w:b/>
      <w:sz w:val="28"/>
      <w:lang w:val="en-CA" w:eastAsia="en-US"/>
    </w:rPr>
  </w:style>
  <w:style w:type="paragraph" w:customStyle="1" w:styleId="IntroheadernoTOC">
    <w:name w:val="Intro header_noTOC"/>
    <w:basedOn w:val="Introheaders"/>
    <w:rsid w:val="00C07424"/>
    <w:pPr>
      <w:outlineLvl w:val="9"/>
    </w:pPr>
  </w:style>
  <w:style w:type="paragraph" w:customStyle="1" w:styleId="IntroText">
    <w:name w:val="Intro Text"/>
    <w:basedOn w:val="Normal"/>
    <w:rsid w:val="00C07424"/>
    <w:pPr>
      <w:tabs>
        <w:tab w:val="left" w:pos="851"/>
        <w:tab w:val="left" w:pos="1559"/>
        <w:tab w:val="left" w:pos="1701"/>
      </w:tabs>
      <w:spacing w:after="80"/>
      <w:ind w:left="1701" w:right="567"/>
    </w:pPr>
    <w:rPr>
      <w:szCs w:val="22"/>
      <w:lang w:eastAsia="en-GB"/>
    </w:rPr>
  </w:style>
  <w:style w:type="paragraph" w:customStyle="1" w:styleId="Note">
    <w:name w:val="Note"/>
    <w:next w:val="BodyText"/>
    <w:rsid w:val="00C07424"/>
    <w:pPr>
      <w:keepNext/>
      <w:spacing w:before="1600" w:after="240"/>
      <w:outlineLvl w:val="0"/>
    </w:pPr>
    <w:rPr>
      <w:rFonts w:ascii="Verdana" w:hAnsi="Verdana" w:cs="Arial"/>
      <w:b/>
      <w:sz w:val="28"/>
      <w:lang w:val="en-CA" w:eastAsia="en-US"/>
    </w:rPr>
  </w:style>
  <w:style w:type="paragraph" w:customStyle="1" w:styleId="Notebody">
    <w:name w:val="Note body"/>
    <w:basedOn w:val="BodyText"/>
    <w:next w:val="BodyText"/>
    <w:rsid w:val="00C07424"/>
    <w:pPr>
      <w:spacing w:after="240"/>
    </w:pPr>
  </w:style>
  <w:style w:type="paragraph" w:customStyle="1" w:styleId="TypeofDocument2">
    <w:name w:val="Type of Document2"/>
    <w:basedOn w:val="Normal"/>
    <w:semiHidden/>
    <w:rsid w:val="005E54E2"/>
    <w:pPr>
      <w:tabs>
        <w:tab w:val="left" w:pos="890"/>
      </w:tabs>
      <w:spacing w:line="276" w:lineRule="auto"/>
      <w:jc w:val="center"/>
    </w:pPr>
    <w:rPr>
      <w:b/>
      <w:bCs/>
      <w:sz w:val="28"/>
      <w:szCs w:val="36"/>
    </w:rPr>
  </w:style>
  <w:style w:type="paragraph" w:customStyle="1" w:styleId="Tablebullets">
    <w:name w:val="Table bullets"/>
    <w:basedOn w:val="bullets"/>
    <w:semiHidden/>
    <w:rsid w:val="00C07424"/>
    <w:pPr>
      <w:numPr>
        <w:numId w:val="0"/>
      </w:numPr>
      <w:spacing w:after="0"/>
    </w:pPr>
    <w:rPr>
      <w:rFonts w:ascii="Arial" w:hAnsi="Arial"/>
      <w:sz w:val="16"/>
    </w:rPr>
  </w:style>
  <w:style w:type="table" w:styleId="TableGrid">
    <w:name w:val="Table Grid"/>
    <w:basedOn w:val="TableNormal"/>
    <w:uiPriority w:val="39"/>
    <w:rsid w:val="00C074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nnexes">
    <w:name w:val="Table of Annexes"/>
    <w:basedOn w:val="TableofFigures"/>
    <w:next w:val="Normal"/>
    <w:semiHidden/>
    <w:rsid w:val="00C07424"/>
    <w:pPr>
      <w:numPr>
        <w:numId w:val="0"/>
      </w:numPr>
    </w:pPr>
    <w:rPr>
      <w:noProof/>
      <w:sz w:val="22"/>
    </w:rPr>
  </w:style>
  <w:style w:type="paragraph" w:customStyle="1" w:styleId="TableTitle">
    <w:name w:val="Table Title"/>
    <w:basedOn w:val="Appendix"/>
    <w:semiHidden/>
    <w:rsid w:val="00C07424"/>
    <w:pPr>
      <w:spacing w:after="120"/>
    </w:pPr>
    <w:rPr>
      <w:rFonts w:ascii="Arial" w:hAnsi="Arial"/>
      <w:sz w:val="22"/>
      <w:szCs w:val="22"/>
    </w:rPr>
  </w:style>
  <w:style w:type="paragraph" w:customStyle="1" w:styleId="TablesTitle">
    <w:name w:val="TablesTitle"/>
    <w:basedOn w:val="Normal"/>
    <w:semiHidden/>
    <w:rsid w:val="00C07424"/>
    <w:pPr>
      <w:keepNext/>
      <w:spacing w:after="240"/>
      <w:ind w:left="567"/>
    </w:pPr>
    <w:rPr>
      <w:rFonts w:ascii="Arial" w:eastAsia="MS Mincho" w:hAnsi="Arial"/>
      <w:b/>
    </w:rPr>
  </w:style>
  <w:style w:type="paragraph" w:customStyle="1" w:styleId="Introduction">
    <w:name w:val="Introduction"/>
    <w:next w:val="BodyText"/>
    <w:rsid w:val="00585812"/>
    <w:rPr>
      <w:rFonts w:ascii="Verdana" w:hAnsi="Verdana" w:cs="Arial"/>
      <w:sz w:val="2"/>
      <w:lang w:eastAsia="en-US"/>
    </w:rPr>
  </w:style>
  <w:style w:type="paragraph" w:customStyle="1" w:styleId="Introductorypages0">
    <w:name w:val="Introductory pages"/>
    <w:rsid w:val="006C7928"/>
    <w:pPr>
      <w:spacing w:before="40"/>
      <w:jc w:val="both"/>
    </w:pPr>
    <w:rPr>
      <w:rFonts w:ascii="Verdana" w:hAnsi="Verdana"/>
      <w:sz w:val="16"/>
      <w:lang w:val="en-CA" w:eastAsia="en-US"/>
    </w:rPr>
  </w:style>
  <w:style w:type="character" w:styleId="LineNumber">
    <w:name w:val="line number"/>
    <w:basedOn w:val="DefaultParagraphFont"/>
    <w:rsid w:val="000E6437"/>
  </w:style>
  <w:style w:type="character" w:customStyle="1" w:styleId="FooterChar">
    <w:name w:val="Footer Char"/>
    <w:basedOn w:val="DefaultParagraphFont"/>
    <w:link w:val="Footer"/>
    <w:uiPriority w:val="99"/>
    <w:rsid w:val="00EE5D87"/>
    <w:rPr>
      <w:rFonts w:ascii="Verdana" w:eastAsia="Times" w:hAnsi="Verdana" w:cs="Arial"/>
      <w:lang w:val="en-CA" w:eastAsia="en-US"/>
    </w:rPr>
  </w:style>
  <w:style w:type="paragraph" w:styleId="ListParagraph">
    <w:name w:val="List Paragraph"/>
    <w:aliases w:val="Main points"/>
    <w:basedOn w:val="Normal"/>
    <w:link w:val="ListParagraphChar"/>
    <w:uiPriority w:val="34"/>
    <w:qFormat/>
    <w:rsid w:val="00762AC7"/>
    <w:pPr>
      <w:widowControl w:val="0"/>
      <w:autoSpaceDE w:val="0"/>
      <w:autoSpaceDN w:val="0"/>
      <w:spacing w:before="120"/>
      <w:ind w:left="866" w:right="116" w:hanging="567"/>
      <w:jc w:val="both"/>
    </w:pPr>
    <w:rPr>
      <w:rFonts w:eastAsia="Verdana" w:cs="Verdana"/>
      <w:sz w:val="22"/>
      <w:szCs w:val="22"/>
      <w:lang w:val="en-US" w:bidi="en-US"/>
    </w:rPr>
  </w:style>
  <w:style w:type="character" w:customStyle="1" w:styleId="ListParagraphChar">
    <w:name w:val="List Paragraph Char"/>
    <w:aliases w:val="Main points Char"/>
    <w:basedOn w:val="DefaultParagraphFont"/>
    <w:link w:val="ListParagraph"/>
    <w:uiPriority w:val="34"/>
    <w:rsid w:val="00762AC7"/>
    <w:rPr>
      <w:rFonts w:ascii="Verdana" w:eastAsia="Verdana" w:hAnsi="Verdana" w:cs="Verdan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547">
      <w:bodyDiv w:val="1"/>
      <w:marLeft w:val="0"/>
      <w:marRight w:val="0"/>
      <w:marTop w:val="0"/>
      <w:marBottom w:val="0"/>
      <w:divBdr>
        <w:top w:val="none" w:sz="0" w:space="0" w:color="auto"/>
        <w:left w:val="none" w:sz="0" w:space="0" w:color="auto"/>
        <w:bottom w:val="none" w:sz="0" w:space="0" w:color="auto"/>
        <w:right w:val="none" w:sz="0" w:space="0" w:color="auto"/>
      </w:divBdr>
    </w:div>
    <w:div w:id="998656151">
      <w:bodyDiv w:val="1"/>
      <w:marLeft w:val="0"/>
      <w:marRight w:val="0"/>
      <w:marTop w:val="0"/>
      <w:marBottom w:val="0"/>
      <w:divBdr>
        <w:top w:val="none" w:sz="0" w:space="0" w:color="auto"/>
        <w:left w:val="none" w:sz="0" w:space="0" w:color="auto"/>
        <w:bottom w:val="none" w:sz="0" w:space="0" w:color="auto"/>
        <w:right w:val="none" w:sz="0" w:space="0" w:color="auto"/>
      </w:divBdr>
    </w:div>
    <w:div w:id="1891653529">
      <w:bodyDiv w:val="1"/>
      <w:marLeft w:val="0"/>
      <w:marRight w:val="0"/>
      <w:marTop w:val="0"/>
      <w:marBottom w:val="0"/>
      <w:divBdr>
        <w:top w:val="none" w:sz="0" w:space="0" w:color="auto"/>
        <w:left w:val="none" w:sz="0" w:space="0" w:color="auto"/>
        <w:bottom w:val="none" w:sz="0" w:space="0" w:color="auto"/>
        <w:right w:val="none" w:sz="0" w:space="0" w:color="auto"/>
      </w:divBdr>
    </w:div>
    <w:div w:id="2010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xdesk.ifad.org/sites/irt/Executive%20Board%20Templates/English/Other%20EB%20Templates/Adde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XML_x0020_Order xmlns="713ee0f6-1013-4344-8397-c4c32a18ad53">1</XML_x0020_Order>
    <XML_x0020_Document xmlns="713ee0f6-1013-4344-8397-c4c32a18ad53">Addendum</XML_x0020_Document>
    <XML_x0020_Description xmlns="713ee0f6-1013-4344-8397-c4c32a18ad53">Create a new addendum document (English).</XML_x0020_Description>
  </documentManagement>
</p:properties>
</file>

<file path=customXml/item2.xml><?xml version="1.0" encoding="utf-8"?>
<?mso-contentType ?>
<spe:Receivers xmlns:spe="http://schemas.microsoft.com/sharepoint/events">
  <Receiver>
    <Name/>
    <Synchronization>Asynchronous</Synchronization>
    <Type>10001</Type>
    <SequenceNumber>10000</SequenceNumber>
    <Url/>
    <Assembly>Ifad.XDESK.IRT, Version=1.0.0.0, Culture=neutral, PublicKeyToken=ae61937e39a16d31</Assembly>
    <Class>Ifad.XDESK.IRT.DocumentTemplateER</Class>
    <Data/>
    <Filter/>
  </Receiver>
</spe:Receivers>
</file>

<file path=customXml/item3.xml><?xml version="1.0" encoding="utf-8"?>
<?mso-contentType ?>
<FormUrls xmlns="http://schemas.microsoft.com/sharepoint/v3/contenttype/forms/url">
  <Edit>_layouts/Ifad.XDESK.IRT/Pages/DocumentTemplate.aspx</Edit>
  <New>_layouts/Ifad.XDESK.IRT/Pages/DocumentTemplate.aspx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Template" ma:contentTypeID="0x01010045A1717290A946268837FC00898726ED00A528143928297F46800819824FCD6F5E" ma:contentTypeVersion="138" ma:contentTypeDescription="My Content Type" ma:contentTypeScope="" ma:versionID="7ab2bac10440f7b7fbace69146820e40">
  <xsd:schema xmlns:xsd="http://www.w3.org/2001/XMLSchema" xmlns:xs="http://www.w3.org/2001/XMLSchema" xmlns:p="http://schemas.microsoft.com/office/2006/metadata/properties" xmlns:ns2="713ee0f6-1013-4344-8397-c4c32a18ad53" targetNamespace="http://schemas.microsoft.com/office/2006/metadata/properties" ma:root="true" ma:fieldsID="8bd47f7f80fec169ca8bc9c1576ff533" ns2:_="">
    <xsd:import namespace="713ee0f6-1013-4344-8397-c4c32a18ad53"/>
    <xsd:element name="properties">
      <xsd:complexType>
        <xsd:sequence>
          <xsd:element name="documentManagement">
            <xsd:complexType>
              <xsd:all>
                <xsd:element ref="ns2:XML_x0020_Document" minOccurs="0"/>
                <xsd:element ref="ns2:XML_x0020_Description" minOccurs="0"/>
                <xsd:element ref="ns2:XML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ee0f6-1013-4344-8397-c4c32a18ad53" elementFormDefault="qualified">
    <xsd:import namespace="http://schemas.microsoft.com/office/2006/documentManagement/types"/>
    <xsd:import namespace="http://schemas.microsoft.com/office/infopath/2007/PartnerControls"/>
    <xsd:element name="XML_x0020_Document" ma:index="8" nillable="true" ma:displayName="XML Document" ma:internalName="XML_x0020_Document">
      <xsd:simpleType>
        <xsd:restriction base="dms:Text">
          <xsd:maxLength value="255"/>
        </xsd:restriction>
      </xsd:simpleType>
    </xsd:element>
    <xsd:element name="XML_x0020_Description" ma:index="9" nillable="true" ma:displayName="XML Description" ma:internalName="XML_x0020_Description">
      <xsd:simpleType>
        <xsd:restriction base="dms:Text">
          <xsd:maxLength value="255"/>
        </xsd:restriction>
      </xsd:simpleType>
    </xsd:element>
    <xsd:element name="XML_x0020_Order" ma:index="10" nillable="true" ma:displayName="XML Order" ma:internalName="XML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0D7F-380C-41B1-B58C-CA4ECC3BD9D2}">
  <ds:schemaRefs>
    <ds:schemaRef ds:uri="http://schemas.microsoft.com/office/2006/metadata/properties"/>
    <ds:schemaRef ds:uri="713ee0f6-1013-4344-8397-c4c32a18ad53"/>
  </ds:schemaRefs>
</ds:datastoreItem>
</file>

<file path=customXml/itemProps2.xml><?xml version="1.0" encoding="utf-8"?>
<ds:datastoreItem xmlns:ds="http://schemas.openxmlformats.org/officeDocument/2006/customXml" ds:itemID="{E5D36F4E-F0AE-430F-B8EC-34D26EA35E05}">
  <ds:schemaRefs>
    <ds:schemaRef ds:uri="http://schemas.microsoft.com/sharepoint/events"/>
  </ds:schemaRefs>
</ds:datastoreItem>
</file>

<file path=customXml/itemProps3.xml><?xml version="1.0" encoding="utf-8"?>
<ds:datastoreItem xmlns:ds="http://schemas.openxmlformats.org/officeDocument/2006/customXml" ds:itemID="{A3269229-BB20-4560-976C-4ECD6ACAED45}">
  <ds:schemaRefs>
    <ds:schemaRef ds:uri="http://schemas.microsoft.com/sharepoint/v3/contenttype/forms/url"/>
  </ds:schemaRefs>
</ds:datastoreItem>
</file>

<file path=customXml/itemProps4.xml><?xml version="1.0" encoding="utf-8"?>
<ds:datastoreItem xmlns:ds="http://schemas.openxmlformats.org/officeDocument/2006/customXml" ds:itemID="{3D0AB462-F923-410B-B76E-83CE36F283B4}">
  <ds:schemaRefs>
    <ds:schemaRef ds:uri="http://schemas.microsoft.com/sharepoint/v3/contenttype/forms"/>
  </ds:schemaRefs>
</ds:datastoreItem>
</file>

<file path=customXml/itemProps5.xml><?xml version="1.0" encoding="utf-8"?>
<ds:datastoreItem xmlns:ds="http://schemas.openxmlformats.org/officeDocument/2006/customXml" ds:itemID="{E9AC8A86-8950-49FA-8828-968C57A4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ee0f6-1013-4344-8397-c4c32a18a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A81A91-3FC3-4806-953F-BA84C3D3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Addendum.dotm</Template>
  <TotalTime>0</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Addendum</vt:lpstr>
    </vt:vector>
  </TitlesOfParts>
  <Company>IFAD</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creator>Sorensen, Lene</dc:creator>
  <cp:lastModifiedBy>Medone, Silvia</cp:lastModifiedBy>
  <cp:revision>2</cp:revision>
  <cp:lastPrinted>2008-06-17T12:34:00Z</cp:lastPrinted>
  <dcterms:created xsi:type="dcterms:W3CDTF">2020-09-28T08:10:00Z</dcterms:created>
  <dcterms:modified xsi:type="dcterms:W3CDTF">2020-09-28T08:10:00Z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0x01010045A1717290A946268837FC00898726ED00A528143928297F46800819824FCD6F5E</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control idQ="mso:CustomQuickPartsGallery" visible="true"/>
        <mso:separator idQ="doc:sep2" visible="true"/>
        <mso:control idQ="mso:CustomHeaderGallery" visible="true"/>
        <mso:separator idQ="doc:sep3" visible="true"/>
        <mso:control idQ="mso:CustomPageNumberGallery" visible="true"/>
        <mso:separator idQ="doc:sep4" visible="true"/>
        <mso:separator idQ="doc:sep1" visible="true"/>
        <mso:button idQ="doc:ParaNum_1" visible="true" label="ParaNum" imageMso="SlidesPerPageSlideOutline" onAction="ParaNum"/>
      </mso:documentControls>
    </mso:qat>
  </mso:ribbon>
</mso:customUI>
</file>